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95" w:rsidRPr="007038E4" w:rsidRDefault="00A77B95" w:rsidP="00A77B95">
      <w:pPr>
        <w:pStyle w:val="Titre2"/>
      </w:pPr>
      <w:bookmarkStart w:id="0" w:name="_Toc528597728"/>
      <w:bookmarkStart w:id="1" w:name="_Toc529272339"/>
      <w:bookmarkStart w:id="2" w:name="_Toc529272857"/>
      <w:bookmarkStart w:id="3" w:name="_Toc529353590"/>
      <w:bookmarkStart w:id="4" w:name="_Toc529806536"/>
      <w:bookmarkStart w:id="5" w:name="_Toc529806651"/>
      <w:r>
        <w:t>Voorbeeld van uniforme indexering van de dossiers</w:t>
      </w:r>
      <w:bookmarkEnd w:id="0"/>
      <w:bookmarkEnd w:id="1"/>
      <w:bookmarkEnd w:id="2"/>
      <w:bookmarkEnd w:id="3"/>
      <w:bookmarkEnd w:id="4"/>
      <w:bookmarkEnd w:id="5"/>
    </w:p>
    <w:p w:rsidR="00A77B95" w:rsidRPr="007038E4" w:rsidRDefault="00A77B95" w:rsidP="00A77B95">
      <w:pPr>
        <w:spacing w:after="120"/>
        <w:ind w:left="1"/>
        <w:jc w:val="both"/>
        <w:rPr>
          <w:rFonts w:eastAsia="Times New Roman"/>
          <w:lang w:eastAsia="fr-BE"/>
        </w:rPr>
      </w:pPr>
    </w:p>
    <w:p w:rsidR="00A77B95" w:rsidRPr="007038E4" w:rsidRDefault="00A77B95" w:rsidP="00A77B95">
      <w:pPr>
        <w:spacing w:after="120" w:line="240" w:lineRule="auto"/>
        <w:jc w:val="both"/>
        <w:rPr>
          <w:rFonts w:eastAsia="Times New Roman"/>
        </w:rPr>
      </w:pPr>
      <w:r>
        <w:rPr>
          <w:highlight w:val="yellow"/>
        </w:rPr>
        <w:t>In te voegen door het kantoor</w:t>
      </w:r>
    </w:p>
    <w:p w:rsidR="00A77B95" w:rsidRPr="007038E4" w:rsidRDefault="00A77B95" w:rsidP="00A77B95">
      <w:pPr>
        <w:spacing w:after="120" w:line="240" w:lineRule="auto"/>
        <w:jc w:val="both"/>
        <w:rPr>
          <w:rFonts w:eastAsia="Times New Roman"/>
          <w:lang w:eastAsia="fr-BE"/>
        </w:rPr>
      </w:pPr>
    </w:p>
    <w:p w:rsidR="00A77B95" w:rsidRPr="007038E4" w:rsidRDefault="00A77B95" w:rsidP="00A77B95">
      <w:pPr>
        <w:spacing w:after="120"/>
        <w:jc w:val="both"/>
        <w:rPr>
          <w:rFonts w:eastAsia="Times New Roman"/>
          <w:b/>
          <w:i/>
        </w:rPr>
      </w:pPr>
      <w:r>
        <w:rPr>
          <w:b/>
          <w:i/>
        </w:rPr>
        <w:t>Nuttige tips</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289"/>
      </w:tblGrid>
      <w:tr w:rsidR="00A77B95" w:rsidRPr="007038E4" w:rsidTr="00DF0364">
        <w:trPr>
          <w:trHeight w:val="6960"/>
        </w:trPr>
        <w:tc>
          <w:tcPr>
            <w:tcW w:w="9289" w:type="dxa"/>
            <w:shd w:val="clear" w:color="auto" w:fill="F2F2F2"/>
          </w:tcPr>
          <w:p w:rsidR="00A77B95" w:rsidRPr="007038E4" w:rsidRDefault="00A77B95" w:rsidP="00DF0364">
            <w:pPr>
              <w:spacing w:after="60"/>
              <w:ind w:left="161" w:right="213"/>
              <w:jc w:val="both"/>
              <w:rPr>
                <w:rFonts w:eastAsia="Times New Roman"/>
              </w:rPr>
            </w:pPr>
            <w:r>
              <w:t>Het kantoor moet de vereisten inzake opdrachtdocumentatie vaststellen die nodig zijn om aan te tonen dat het voldoet aan de professionele vereisten en de door wet- en regelgeving gestelde vereisten. Er wordt voorgesteld dat het kantoor rekening houdt met de volgende elementen:</w:t>
            </w:r>
          </w:p>
          <w:p w:rsidR="00A77B95" w:rsidRPr="007038E4" w:rsidRDefault="00A77B95" w:rsidP="00A77B95">
            <w:pPr>
              <w:numPr>
                <w:ilvl w:val="0"/>
                <w:numId w:val="1"/>
              </w:numPr>
              <w:spacing w:after="60"/>
              <w:ind w:left="882" w:right="213"/>
              <w:jc w:val="both"/>
              <w:rPr>
                <w:rFonts w:eastAsia="Times New Roman"/>
              </w:rPr>
            </w:pPr>
            <w:proofErr w:type="gramStart"/>
            <w:r>
              <w:t>de</w:t>
            </w:r>
            <w:proofErr w:type="gramEnd"/>
            <w:r>
              <w:t xml:space="preserve"> controlelijst of het afsluitend memorandum betreffende de opdrachtplanning;</w:t>
            </w:r>
          </w:p>
          <w:p w:rsidR="00A77B95" w:rsidRPr="007038E4" w:rsidRDefault="00A77B95" w:rsidP="00A77B95">
            <w:pPr>
              <w:numPr>
                <w:ilvl w:val="0"/>
                <w:numId w:val="1"/>
              </w:numPr>
              <w:spacing w:after="60"/>
              <w:ind w:left="882" w:right="213"/>
              <w:jc w:val="both"/>
              <w:rPr>
                <w:rFonts w:eastAsia="Times New Roman"/>
              </w:rPr>
            </w:pPr>
            <w:proofErr w:type="gramStart"/>
            <w:r>
              <w:t>de</w:t>
            </w:r>
            <w:proofErr w:type="gramEnd"/>
            <w:r>
              <w:t xml:space="preserve"> vastgestelde aangelegenheden met betrekking tot de deontologische regels (waaronder het bewijs van naleving);</w:t>
            </w:r>
          </w:p>
          <w:p w:rsidR="00A77B95" w:rsidRPr="007038E4" w:rsidRDefault="00A77B95" w:rsidP="00A77B95">
            <w:pPr>
              <w:numPr>
                <w:ilvl w:val="0"/>
                <w:numId w:val="1"/>
              </w:numPr>
              <w:spacing w:after="60"/>
              <w:ind w:left="882" w:right="213"/>
              <w:jc w:val="both"/>
              <w:rPr>
                <w:rFonts w:eastAsia="Times New Roman"/>
              </w:rPr>
            </w:pPr>
            <w:proofErr w:type="gramStart"/>
            <w:r>
              <w:t>de</w:t>
            </w:r>
            <w:proofErr w:type="gramEnd"/>
            <w:r>
              <w:t xml:space="preserve"> naleving van de onafhankelijkheidsvereisten en de documentatie van de besprekingen over deze aangelegenheden;</w:t>
            </w:r>
          </w:p>
          <w:p w:rsidR="00A77B95" w:rsidRPr="007038E4" w:rsidRDefault="00A77B95" w:rsidP="00A77B95">
            <w:pPr>
              <w:numPr>
                <w:ilvl w:val="0"/>
                <w:numId w:val="1"/>
              </w:numPr>
              <w:spacing w:after="60"/>
              <w:ind w:left="882" w:right="213"/>
              <w:jc w:val="both"/>
              <w:rPr>
                <w:rFonts w:eastAsia="Times New Roman"/>
              </w:rPr>
            </w:pPr>
            <w:proofErr w:type="gramStart"/>
            <w:r>
              <w:t>de</w:t>
            </w:r>
            <w:proofErr w:type="gramEnd"/>
            <w:r>
              <w:t xml:space="preserve"> bereikte conclusies met betrekking tot de aanvaarding en voortzetting van de cliëntrelatie;</w:t>
            </w:r>
          </w:p>
          <w:p w:rsidR="00A77B95" w:rsidRPr="007038E4" w:rsidRDefault="00A77B95" w:rsidP="00A77B95">
            <w:pPr>
              <w:numPr>
                <w:ilvl w:val="0"/>
                <w:numId w:val="1"/>
              </w:numPr>
              <w:spacing w:after="60"/>
              <w:ind w:left="882" w:right="213"/>
              <w:jc w:val="both"/>
              <w:rPr>
                <w:rFonts w:eastAsia="Times New Roman"/>
              </w:rPr>
            </w:pPr>
            <w:proofErr w:type="gramStart"/>
            <w:r>
              <w:t>de</w:t>
            </w:r>
            <w:proofErr w:type="gramEnd"/>
            <w:r>
              <w:t xml:space="preserve"> procedures die werden toegepast voor het inschatten van het risico van een afwijking van materieel belang naar aanleiding van een fraude of een fout op het niveau van de financiële overzichten en van beweringen;</w:t>
            </w:r>
          </w:p>
          <w:p w:rsidR="00A77B95" w:rsidRPr="007038E4" w:rsidRDefault="00A77B95" w:rsidP="00A77B95">
            <w:pPr>
              <w:numPr>
                <w:ilvl w:val="0"/>
                <w:numId w:val="1"/>
              </w:numPr>
              <w:spacing w:after="60"/>
              <w:ind w:left="882" w:right="213"/>
              <w:jc w:val="both"/>
              <w:rPr>
                <w:rFonts w:eastAsia="Times New Roman"/>
              </w:rPr>
            </w:pPr>
            <w:proofErr w:type="gramStart"/>
            <w:r>
              <w:t>de</w:t>
            </w:r>
            <w:proofErr w:type="gramEnd"/>
            <w:r>
              <w:t xml:space="preserve"> aard, timing en omvang van de procedures die werden toegepast om in te spelen op de risico-inschatting, met inbegrip van de resultaten en conclusies, bij voorkeur gegroepeerd in functie van de posten van de financiële overzichten;</w:t>
            </w:r>
          </w:p>
          <w:p w:rsidR="00A77B95" w:rsidRPr="007038E4" w:rsidRDefault="00A77B95" w:rsidP="00A77B95">
            <w:pPr>
              <w:numPr>
                <w:ilvl w:val="0"/>
                <w:numId w:val="1"/>
              </w:numPr>
              <w:spacing w:after="60"/>
              <w:ind w:left="882" w:right="213"/>
              <w:jc w:val="both"/>
              <w:rPr>
                <w:rFonts w:eastAsia="Times New Roman"/>
              </w:rPr>
            </w:pPr>
            <w:proofErr w:type="gramStart"/>
            <w:r>
              <w:t>de</w:t>
            </w:r>
            <w:proofErr w:type="gramEnd"/>
            <w:r>
              <w:t xml:space="preserve"> aard en reikwijdte van de consultatie en de conclusies daaruit;</w:t>
            </w:r>
          </w:p>
          <w:p w:rsidR="00A77B95" w:rsidRPr="007038E4" w:rsidRDefault="00A77B95" w:rsidP="00A77B95">
            <w:pPr>
              <w:numPr>
                <w:ilvl w:val="0"/>
                <w:numId w:val="1"/>
              </w:numPr>
              <w:spacing w:after="60"/>
              <w:ind w:left="882" w:right="213"/>
              <w:jc w:val="both"/>
              <w:rPr>
                <w:rFonts w:eastAsia="Times New Roman"/>
              </w:rPr>
            </w:pPr>
            <w:proofErr w:type="gramStart"/>
            <w:r>
              <w:t>alle</w:t>
            </w:r>
            <w:proofErr w:type="gramEnd"/>
            <w:r>
              <w:t xml:space="preserve"> inkomende en uitgaande communicatie;</w:t>
            </w:r>
          </w:p>
          <w:p w:rsidR="00A77B95" w:rsidRPr="007038E4" w:rsidRDefault="00A77B95" w:rsidP="00A77B95">
            <w:pPr>
              <w:numPr>
                <w:ilvl w:val="0"/>
                <w:numId w:val="1"/>
              </w:numPr>
              <w:spacing w:after="60"/>
              <w:ind w:left="882" w:right="213"/>
              <w:jc w:val="both"/>
              <w:rPr>
                <w:rFonts w:eastAsia="Times New Roman"/>
              </w:rPr>
            </w:pPr>
            <w:proofErr w:type="gramStart"/>
            <w:r>
              <w:t>de</w:t>
            </w:r>
            <w:proofErr w:type="gramEnd"/>
            <w:r>
              <w:t xml:space="preserve"> resultaten van de opdrachtgerichte kwaliteitsbeoordeling die werd afgerond uiterlijk op de verslagdatum;</w:t>
            </w:r>
          </w:p>
          <w:p w:rsidR="00A77B95" w:rsidRPr="007038E4" w:rsidRDefault="00A77B95" w:rsidP="00A77B95">
            <w:pPr>
              <w:numPr>
                <w:ilvl w:val="0"/>
                <w:numId w:val="1"/>
              </w:numPr>
              <w:spacing w:after="60"/>
              <w:ind w:left="882" w:right="213"/>
              <w:jc w:val="both"/>
              <w:rPr>
                <w:rFonts w:eastAsia="Times New Roman"/>
              </w:rPr>
            </w:pPr>
            <w:proofErr w:type="gramStart"/>
            <w:r>
              <w:t>de</w:t>
            </w:r>
            <w:proofErr w:type="gramEnd"/>
            <w:r>
              <w:t xml:space="preserve"> bevestiging dat er geen onopgeloste aangelegenheid bestaat op grond waarvan de opdrachtgerichte kwaliteitsbeoordelaar de belangrijke ingenomen standpunten en bereikte conclusies ongepast zou achten;</w:t>
            </w:r>
          </w:p>
          <w:p w:rsidR="00A77B95" w:rsidRPr="007038E4" w:rsidRDefault="00A77B95" w:rsidP="00A77B95">
            <w:pPr>
              <w:numPr>
                <w:ilvl w:val="0"/>
                <w:numId w:val="1"/>
              </w:numPr>
              <w:spacing w:after="60"/>
              <w:ind w:left="882" w:right="213"/>
              <w:jc w:val="both"/>
              <w:rPr>
                <w:rFonts w:eastAsia="Times New Roman"/>
              </w:rPr>
            </w:pPr>
            <w:proofErr w:type="gramStart"/>
            <w:r>
              <w:t>een</w:t>
            </w:r>
            <w:proofErr w:type="gramEnd"/>
            <w:r>
              <w:t xml:space="preserve"> conclusie die aangeeft dat voldoende en geschikte controle-informatie werd verkregen en geëvalueerd en het uit te brengen verslag onderbouwt;</w:t>
            </w:r>
          </w:p>
          <w:p w:rsidR="00A77B95" w:rsidRPr="007038E4" w:rsidRDefault="00A77B95" w:rsidP="00A77B95">
            <w:pPr>
              <w:numPr>
                <w:ilvl w:val="0"/>
                <w:numId w:val="1"/>
              </w:numPr>
              <w:spacing w:after="60"/>
              <w:ind w:left="882"/>
              <w:jc w:val="both"/>
              <w:rPr>
                <w:rFonts w:eastAsia="Times New Roman"/>
              </w:rPr>
            </w:pPr>
            <w:proofErr w:type="gramStart"/>
            <w:r>
              <w:t>de</w:t>
            </w:r>
            <w:proofErr w:type="gramEnd"/>
            <w:r>
              <w:t xml:space="preserve"> afsluiting van het dossier, inclusief de juiste handtekening.</w:t>
            </w:r>
          </w:p>
        </w:tc>
      </w:tr>
    </w:tbl>
    <w:p w:rsidR="00A77B95" w:rsidRPr="00B24B64" w:rsidRDefault="00A77B95" w:rsidP="00A77B95">
      <w:pPr>
        <w:spacing w:before="120" w:after="120" w:line="312" w:lineRule="auto"/>
        <w:jc w:val="both"/>
        <w:rPr>
          <w:rFonts w:eastAsia="Times New Roman" w:cs="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rsidR="00CA4DEE" w:rsidRDefault="00CA4DEE" w:rsidP="00A77B95">
      <w:bookmarkStart w:id="6" w:name="_GoBack"/>
      <w:bookmarkEnd w:id="6"/>
    </w:p>
    <w:sectPr w:rsidR="00CA4DEE"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1FD" w:rsidRDefault="006011FD" w:rsidP="00A77B95">
      <w:pPr>
        <w:spacing w:after="0" w:line="240" w:lineRule="auto"/>
      </w:pPr>
      <w:r>
        <w:separator/>
      </w:r>
    </w:p>
  </w:endnote>
  <w:endnote w:type="continuationSeparator" w:id="0">
    <w:p w:rsidR="006011FD" w:rsidRDefault="006011FD" w:rsidP="00A7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rsidR="00A77B95" w:rsidRDefault="00A77B95" w:rsidP="00A77B95">
        <w:pPr>
          <w:pStyle w:val="Pieddepage"/>
          <w:ind w:right="360"/>
        </w:pPr>
        <w:r>
          <w:t>V 3.0 van 06.11.2018</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rPr>
          <w:t>325</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rPr>
          <w:t>326</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1FD" w:rsidRDefault="006011FD" w:rsidP="00A77B95">
      <w:pPr>
        <w:spacing w:after="0" w:line="240" w:lineRule="auto"/>
      </w:pPr>
      <w:r>
        <w:separator/>
      </w:r>
    </w:p>
  </w:footnote>
  <w:footnote w:type="continuationSeparator" w:id="0">
    <w:p w:rsidR="006011FD" w:rsidRDefault="006011FD" w:rsidP="00A77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9A" w:rsidRDefault="006011FD" w:rsidP="00C77668">
    <w:pPr>
      <w:pStyle w:val="En-tte"/>
    </w:pPr>
    <w:r>
      <w:tab/>
    </w:r>
    <w:r>
      <w:tab/>
      <w:t xml:space="preserve"> </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REF LogoCabinetFr  \* MERGEFORMAT </w:instrText>
    </w:r>
    <w:r>
      <w:rPr>
        <w:rFonts w:asciiTheme="majorHAnsi" w:eastAsiaTheme="majorEastAsia" w:hAnsiTheme="majorHAnsi" w:cstheme="majorBidi"/>
      </w:rPr>
      <w:fldChar w:fldCharType="separate"/>
    </w:r>
    <w:r w:rsidRPr="00A01938">
      <w:rPr>
        <w:rFonts w:asciiTheme="majorHAnsi" w:eastAsiaTheme="majorEastAsia" w:hAnsiTheme="majorHAnsi" w:cstheme="majorBidi"/>
      </w:rPr>
      <w:t> Uw</w:t>
    </w:r>
    <w:r>
      <w:t xml:space="preserve"> logo hier invoegen </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404F"/>
    <w:multiLevelType w:val="hybridMultilevel"/>
    <w:tmpl w:val="BC5459CC"/>
    <w:lvl w:ilvl="0" w:tplc="080C000B">
      <w:start w:val="1"/>
      <w:numFmt w:val="bullet"/>
      <w:lvlText w:val=""/>
      <w:lvlJc w:val="left"/>
      <w:pPr>
        <w:ind w:left="721" w:hanging="360"/>
      </w:pPr>
      <w:rPr>
        <w:rFonts w:ascii="Wingdings" w:hAnsi="Wingdings"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95"/>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5E2C"/>
    <w:rsid w:val="0047768D"/>
    <w:rsid w:val="004B2ABC"/>
    <w:rsid w:val="004C644B"/>
    <w:rsid w:val="005274B4"/>
    <w:rsid w:val="00566C10"/>
    <w:rsid w:val="00590FE9"/>
    <w:rsid w:val="005B7803"/>
    <w:rsid w:val="005E5255"/>
    <w:rsid w:val="006011FD"/>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77B95"/>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090EB-1D84-4733-90B4-5EE4BC34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B95"/>
    <w:pPr>
      <w:spacing w:after="200" w:line="276" w:lineRule="auto"/>
    </w:pPr>
    <w:rPr>
      <w:rFonts w:ascii="Arial" w:hAnsi="Arial" w:cs="Arial"/>
      <w:sz w:val="20"/>
      <w:szCs w:val="20"/>
      <w:lang w:val="nl-BE"/>
    </w:rPr>
  </w:style>
  <w:style w:type="paragraph" w:styleId="Titre2">
    <w:name w:val="heading 2"/>
    <w:basedOn w:val="Sansinterligne"/>
    <w:next w:val="Normal"/>
    <w:link w:val="Titre2Car"/>
    <w:unhideWhenUsed/>
    <w:qFormat/>
    <w:rsid w:val="00A77B95"/>
    <w:pPr>
      <w:pageBreakBefore/>
      <w:spacing w:after="120"/>
      <w:outlineLvl w:val="1"/>
    </w:pPr>
    <w:rPr>
      <w:b/>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77B95"/>
    <w:rPr>
      <w:rFonts w:ascii="Arial" w:hAnsi="Arial" w:cs="Arial"/>
      <w:b/>
      <w:sz w:val="44"/>
      <w:szCs w:val="44"/>
      <w:lang w:val="nl-BE"/>
    </w:rPr>
  </w:style>
  <w:style w:type="paragraph" w:styleId="En-tte">
    <w:name w:val="header"/>
    <w:basedOn w:val="Normal"/>
    <w:link w:val="En-tteCar"/>
    <w:unhideWhenUsed/>
    <w:rsid w:val="00A77B95"/>
    <w:pPr>
      <w:tabs>
        <w:tab w:val="center" w:pos="4513"/>
        <w:tab w:val="right" w:pos="9026"/>
      </w:tabs>
      <w:spacing w:after="0" w:line="240" w:lineRule="auto"/>
    </w:pPr>
  </w:style>
  <w:style w:type="character" w:customStyle="1" w:styleId="En-tteCar">
    <w:name w:val="En-tête Car"/>
    <w:basedOn w:val="Policepardfaut"/>
    <w:link w:val="En-tte"/>
    <w:rsid w:val="00A77B95"/>
    <w:rPr>
      <w:rFonts w:ascii="Arial" w:hAnsi="Arial" w:cs="Arial"/>
      <w:sz w:val="20"/>
      <w:szCs w:val="20"/>
      <w:lang w:val="nl-BE"/>
    </w:rPr>
  </w:style>
  <w:style w:type="paragraph" w:styleId="Sansinterligne">
    <w:name w:val="No Spacing"/>
    <w:uiPriority w:val="1"/>
    <w:qFormat/>
    <w:rsid w:val="00A77B95"/>
    <w:pPr>
      <w:spacing w:after="0" w:line="240" w:lineRule="auto"/>
    </w:pPr>
    <w:rPr>
      <w:rFonts w:ascii="Arial" w:hAnsi="Arial" w:cs="Arial"/>
      <w:sz w:val="20"/>
      <w:szCs w:val="20"/>
      <w:lang w:val="nl-BE"/>
    </w:rPr>
  </w:style>
  <w:style w:type="paragraph" w:styleId="Pieddepage">
    <w:name w:val="footer"/>
    <w:basedOn w:val="Normal"/>
    <w:link w:val="PieddepageCar"/>
    <w:uiPriority w:val="99"/>
    <w:unhideWhenUsed/>
    <w:rsid w:val="00A77B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7B95"/>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BD0A1-F160-43FA-AE44-DC10DFA1442E}"/>
</file>

<file path=customXml/itemProps2.xml><?xml version="1.0" encoding="utf-8"?>
<ds:datastoreItem xmlns:ds="http://schemas.openxmlformats.org/officeDocument/2006/customXml" ds:itemID="{7C384CFC-6876-4104-8AA7-03EB0E62A577}"/>
</file>

<file path=customXml/itemProps3.xml><?xml version="1.0" encoding="utf-8"?>
<ds:datastoreItem xmlns:ds="http://schemas.openxmlformats.org/officeDocument/2006/customXml" ds:itemID="{22BC168B-64DF-42E5-A799-B3C8109729BF}"/>
</file>

<file path=customXml/itemProps4.xml><?xml version="1.0" encoding="utf-8"?>
<ds:datastoreItem xmlns:ds="http://schemas.openxmlformats.org/officeDocument/2006/customXml" ds:itemID="{0294B3A6-6BCC-42F2-B463-495C268FBFE9}"/>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1733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Daniel DEVEAUX -Computerland</cp:lastModifiedBy>
  <cp:revision>1</cp:revision>
  <dcterms:created xsi:type="dcterms:W3CDTF">2018-11-14T09:52:00Z</dcterms:created>
  <dcterms:modified xsi:type="dcterms:W3CDTF">2018-11-14T09:56:00Z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