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06" w:rsidRDefault="00402706" w:rsidP="00402706">
      <w:pPr>
        <w:pStyle w:val="Heading2"/>
      </w:pPr>
      <w:bookmarkStart w:id="0" w:name="_Toc528597702"/>
      <w:bookmarkStart w:id="1" w:name="_Toc529272334"/>
      <w:bookmarkStart w:id="2" w:name="_Toc529272852"/>
      <w:bookmarkStart w:id="3" w:name="_Toc529353585"/>
      <w:bookmarkStart w:id="4" w:name="_Toc529806531"/>
      <w:bookmarkStart w:id="5" w:name="_Toc529806646"/>
      <w:r>
        <w:t>Checklist Interne dossierinspectie</w:t>
      </w:r>
      <w:bookmarkEnd w:id="0"/>
      <w:bookmarkEnd w:id="1"/>
      <w:bookmarkEnd w:id="2"/>
      <w:bookmarkEnd w:id="3"/>
      <w:bookmarkEnd w:id="4"/>
      <w:bookmarkEnd w:id="5"/>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402706" w:rsidRPr="007038E4" w:rsidTr="00DF0364">
        <w:tc>
          <w:tcPr>
            <w:tcW w:w="1800" w:type="dxa"/>
          </w:tcPr>
          <w:p w:rsidR="00402706" w:rsidRPr="007038E4" w:rsidRDefault="00402706" w:rsidP="00DF0364">
            <w:pPr>
              <w:spacing w:before="40" w:after="0" w:line="240" w:lineRule="auto"/>
              <w:jc w:val="both"/>
              <w:rPr>
                <w:rFonts w:eastAsia="Times New Roman" w:cs="Times New Roman"/>
              </w:rPr>
            </w:pPr>
            <w:r>
              <w:t>Cliëntnaam</w:t>
            </w:r>
          </w:p>
        </w:tc>
        <w:tc>
          <w:tcPr>
            <w:tcW w:w="2880" w:type="dxa"/>
          </w:tcPr>
          <w:p w:rsidR="00402706" w:rsidRDefault="00402706"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02706" w:rsidRPr="007038E4" w:rsidRDefault="00402706" w:rsidP="00DF0364">
            <w:pPr>
              <w:spacing w:before="40" w:after="0" w:line="240" w:lineRule="auto"/>
              <w:jc w:val="both"/>
              <w:rPr>
                <w:rFonts w:eastAsia="Times New Roman" w:cs="Times New Roman"/>
              </w:rPr>
            </w:pPr>
            <w:r>
              <w:t>Dossiernr.</w:t>
            </w:r>
          </w:p>
        </w:tc>
        <w:tc>
          <w:tcPr>
            <w:tcW w:w="2700" w:type="dxa"/>
          </w:tcPr>
          <w:p w:rsidR="00402706" w:rsidRDefault="00402706"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02706" w:rsidRPr="007038E4" w:rsidTr="00DF0364">
        <w:tc>
          <w:tcPr>
            <w:tcW w:w="1800" w:type="dxa"/>
          </w:tcPr>
          <w:p w:rsidR="00402706" w:rsidRPr="007038E4" w:rsidRDefault="00402706" w:rsidP="00DF0364">
            <w:pPr>
              <w:spacing w:before="40" w:after="0" w:line="240" w:lineRule="auto"/>
              <w:jc w:val="both"/>
              <w:rPr>
                <w:rFonts w:eastAsia="Times New Roman" w:cs="Times New Roman"/>
              </w:rPr>
            </w:pPr>
            <w:r>
              <w:t>Cliëntnr.</w:t>
            </w:r>
          </w:p>
        </w:tc>
        <w:tc>
          <w:tcPr>
            <w:tcW w:w="2880" w:type="dxa"/>
          </w:tcPr>
          <w:p w:rsidR="00402706" w:rsidRDefault="00402706"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02706" w:rsidRPr="00991668" w:rsidRDefault="00402706" w:rsidP="00DF0364">
            <w:pPr>
              <w:spacing w:before="40" w:after="0" w:line="240" w:lineRule="auto"/>
              <w:jc w:val="both"/>
              <w:rPr>
                <w:rFonts w:eastAsia="Times New Roman" w:cs="Times New Roman"/>
                <w:b/>
              </w:rPr>
            </w:pPr>
            <w:r>
              <w:t>Boekjaar</w:t>
            </w:r>
          </w:p>
        </w:tc>
        <w:tc>
          <w:tcPr>
            <w:tcW w:w="2700" w:type="dxa"/>
          </w:tcPr>
          <w:p w:rsidR="00402706" w:rsidRDefault="00402706"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02706" w:rsidRPr="007038E4" w:rsidTr="00DF0364">
        <w:tc>
          <w:tcPr>
            <w:tcW w:w="1800" w:type="dxa"/>
          </w:tcPr>
          <w:p w:rsidR="00402706" w:rsidRPr="00991668" w:rsidRDefault="00402706" w:rsidP="00DF0364">
            <w:pPr>
              <w:spacing w:before="40" w:after="0" w:line="240" w:lineRule="auto"/>
              <w:jc w:val="both"/>
              <w:rPr>
                <w:rFonts w:eastAsia="Times New Roman" w:cs="Times New Roman"/>
                <w:b/>
              </w:rPr>
            </w:pPr>
            <w:r>
              <w:t>Medewerker</w:t>
            </w:r>
          </w:p>
        </w:tc>
        <w:tc>
          <w:tcPr>
            <w:tcW w:w="2880" w:type="dxa"/>
          </w:tcPr>
          <w:p w:rsidR="00402706" w:rsidRDefault="00402706"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02706" w:rsidRPr="00991668" w:rsidRDefault="00402706" w:rsidP="00DF0364">
            <w:pPr>
              <w:spacing w:before="40" w:after="0" w:line="240" w:lineRule="auto"/>
              <w:jc w:val="both"/>
              <w:rPr>
                <w:rFonts w:eastAsia="Times New Roman" w:cs="Times New Roman"/>
                <w:b/>
              </w:rPr>
            </w:pPr>
            <w:r>
              <w:t>Datum</w:t>
            </w:r>
          </w:p>
        </w:tc>
        <w:tc>
          <w:tcPr>
            <w:tcW w:w="2700" w:type="dxa"/>
          </w:tcPr>
          <w:p w:rsidR="00402706" w:rsidRDefault="00402706"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02706" w:rsidRPr="007038E4" w:rsidTr="00DF0364">
        <w:tc>
          <w:tcPr>
            <w:tcW w:w="1800" w:type="dxa"/>
          </w:tcPr>
          <w:p w:rsidR="00402706" w:rsidRPr="00991668" w:rsidRDefault="00402706" w:rsidP="00DF0364">
            <w:pPr>
              <w:spacing w:before="40" w:after="0" w:line="240" w:lineRule="auto"/>
              <w:jc w:val="both"/>
              <w:rPr>
                <w:rFonts w:eastAsia="Times New Roman" w:cs="Times New Roman"/>
                <w:b/>
              </w:rPr>
            </w:pPr>
            <w:r>
              <w:t>Vennoot</w:t>
            </w:r>
          </w:p>
        </w:tc>
        <w:tc>
          <w:tcPr>
            <w:tcW w:w="2880" w:type="dxa"/>
          </w:tcPr>
          <w:p w:rsidR="00402706" w:rsidRDefault="00402706"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02706" w:rsidRPr="007038E4" w:rsidRDefault="00402706"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402706" w:rsidRPr="007038E4" w:rsidRDefault="00402706"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402706" w:rsidRPr="00E87278" w:rsidRDefault="00402706" w:rsidP="00402706"/>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27"/>
        <w:gridCol w:w="852"/>
        <w:gridCol w:w="1557"/>
      </w:tblGrid>
      <w:tr w:rsidR="00402706" w:rsidRPr="007038E4" w:rsidTr="00DF0364">
        <w:tc>
          <w:tcPr>
            <w:tcW w:w="3750" w:type="pct"/>
          </w:tcPr>
          <w:p w:rsidR="00402706" w:rsidRPr="007038E4" w:rsidRDefault="00402706" w:rsidP="00DF0364">
            <w:pPr>
              <w:spacing w:after="0"/>
              <w:jc w:val="center"/>
              <w:rPr>
                <w:rFonts w:eastAsia="Times New Roman" w:cs="Times New Roman"/>
                <w:b/>
              </w:rPr>
            </w:pPr>
            <w:r>
              <w:rPr>
                <w:b/>
              </w:rPr>
              <w:t>Inspectie van individuele dossiers</w:t>
            </w:r>
          </w:p>
        </w:tc>
        <w:tc>
          <w:tcPr>
            <w:tcW w:w="442" w:type="pct"/>
          </w:tcPr>
          <w:p w:rsidR="00402706" w:rsidRPr="007038E4" w:rsidRDefault="00402706" w:rsidP="00DF0364">
            <w:pPr>
              <w:spacing w:after="0"/>
              <w:jc w:val="center"/>
              <w:rPr>
                <w:rFonts w:eastAsia="Times New Roman" w:cs="Times New Roman"/>
                <w:b/>
                <w:sz w:val="18"/>
              </w:rPr>
            </w:pPr>
            <w:r>
              <w:rPr>
                <w:b/>
                <w:sz w:val="18"/>
              </w:rPr>
              <w:t>Ja/Nee/N.v.t.</w:t>
            </w:r>
          </w:p>
        </w:tc>
        <w:tc>
          <w:tcPr>
            <w:tcW w:w="808" w:type="pct"/>
          </w:tcPr>
          <w:p w:rsidR="00402706" w:rsidRPr="007038E4" w:rsidRDefault="00402706" w:rsidP="00DF0364">
            <w:pPr>
              <w:spacing w:after="0"/>
              <w:jc w:val="center"/>
              <w:rPr>
                <w:rFonts w:eastAsia="Times New Roman" w:cs="Times New Roman"/>
                <w:b/>
                <w:sz w:val="18"/>
              </w:rPr>
            </w:pPr>
            <w:r>
              <w:rPr>
                <w:b/>
                <w:sz w:val="18"/>
              </w:rPr>
              <w:t>Omschrijving of ref. werkdocument</w:t>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De persoon die de inspectie uitvoert, maakt geen deel uit van het controleteam en is ook niet de EQCR binnen het bedrijfsrevisorenkantoor.</w:t>
            </w:r>
          </w:p>
        </w:tc>
        <w:tc>
          <w:tcPr>
            <w:tcW w:w="442" w:type="pct"/>
          </w:tcPr>
          <w:p w:rsidR="00402706" w:rsidRPr="007038E4" w:rsidRDefault="00402706" w:rsidP="00DF0364">
            <w:pPr>
              <w:spacing w:after="0"/>
              <w:jc w:val="both"/>
              <w:rPr>
                <w:rFonts w:eastAsia="Times New Roman" w:cs="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De toepassing van de witwaswetgeving en de vastlegging van de activiteiten met betrekking tot  de controle op de volledige en juiste identificatie van opdrachtgevers. Lijkt het verslag passend te zijn in de gegeven omstandigheden?</w:t>
            </w:r>
          </w:p>
        </w:tc>
        <w:tc>
          <w:tcPr>
            <w:tcW w:w="442" w:type="pct"/>
          </w:tcPr>
          <w:p w:rsidR="00402706" w:rsidRPr="007038E4" w:rsidRDefault="00402706" w:rsidP="00DF0364">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financiële overzichten of andere onderzoeksobjecten.</w:t>
            </w:r>
          </w:p>
        </w:tc>
        <w:tc>
          <w:tcPr>
            <w:tcW w:w="442" w:type="pct"/>
          </w:tcPr>
          <w:p w:rsidR="00402706" w:rsidRPr="007038E4" w:rsidRDefault="00402706" w:rsidP="00DF0364">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szCs w:val="18"/>
              </w:rPr>
            </w:pPr>
            <w:r>
              <w:t>Beoordeel de door het opdrachtteam uitgevoerde risicoanalyse.</w:t>
            </w:r>
          </w:p>
        </w:tc>
        <w:tc>
          <w:tcPr>
            <w:tcW w:w="442" w:type="pct"/>
          </w:tcPr>
          <w:p w:rsidR="00402706" w:rsidRPr="007038E4" w:rsidRDefault="00402706" w:rsidP="00DF0364">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szCs w:val="18"/>
              </w:rPr>
            </w:pPr>
            <w:r>
              <w:t>Beoordeel de bepaling van de materialiteit en uitvoeringsmaterialiteit. Stel vast dat deze worden bepaald rekening houdend met de invloed van de specifieke risico’s die bij de risicoanalyse zijn onderkend.</w:t>
            </w:r>
          </w:p>
        </w:tc>
        <w:tc>
          <w:tcPr>
            <w:tcW w:w="442" w:type="pct"/>
          </w:tcPr>
          <w:p w:rsidR="00402706" w:rsidRPr="007038E4" w:rsidRDefault="00402706" w:rsidP="00DF0364">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402706" w:rsidRPr="007038E4" w:rsidTr="00DF0364">
        <w:tc>
          <w:tcPr>
            <w:tcW w:w="3750" w:type="pct"/>
          </w:tcPr>
          <w:p w:rsidR="00402706" w:rsidRPr="004B3133" w:rsidRDefault="00402706" w:rsidP="00402706">
            <w:pPr>
              <w:numPr>
                <w:ilvl w:val="1"/>
                <w:numId w:val="1"/>
              </w:numPr>
              <w:spacing w:after="0"/>
              <w:ind w:left="320" w:hanging="289"/>
              <w:jc w:val="both"/>
              <w:rPr>
                <w:szCs w:val="18"/>
              </w:rPr>
            </w:pPr>
            <w:r>
              <w:t>Lees de aantekeningen van het fraude-overleg (aparte aantekeningen of onderdeel van de besprekingen met het auditteam). Stel vast dat:</w:t>
            </w:r>
          </w:p>
          <w:p w:rsidR="00402706" w:rsidRDefault="00402706" w:rsidP="00DF0364">
            <w:pPr>
              <w:spacing w:after="0"/>
              <w:ind w:left="320"/>
              <w:jc w:val="both"/>
              <w:rPr>
                <w:szCs w:val="18"/>
              </w:rPr>
            </w:pPr>
            <w:r>
              <w:t xml:space="preserve">• de significante risico’s duidelijk vastgelegd en omschreven zijn; </w:t>
            </w:r>
          </w:p>
          <w:p w:rsidR="00402706" w:rsidRDefault="00402706" w:rsidP="00DF0364">
            <w:pPr>
              <w:spacing w:after="0"/>
              <w:ind w:left="320"/>
              <w:jc w:val="both"/>
              <w:rPr>
                <w:szCs w:val="18"/>
              </w:rPr>
            </w:pPr>
            <w:r>
              <w:t xml:space="preserve">• de uit te voeren werkzaamheden en bijzondere aandachtspunten duidelijk meegedeeld werden; </w:t>
            </w:r>
          </w:p>
          <w:p w:rsidR="00402706" w:rsidRPr="007038E4" w:rsidRDefault="00402706" w:rsidP="00DF0364">
            <w:pPr>
              <w:spacing w:after="0"/>
              <w:ind w:left="320"/>
              <w:jc w:val="both"/>
              <w:rPr>
                <w:szCs w:val="18"/>
              </w:rPr>
            </w:pPr>
            <w:r>
              <w:t>• de besluiten van de uitgevoerde werkzaamheden meegedeeld worden.</w:t>
            </w:r>
          </w:p>
        </w:tc>
        <w:tc>
          <w:tcPr>
            <w:tcW w:w="442" w:type="pct"/>
          </w:tcPr>
          <w:p w:rsidR="00402706" w:rsidRDefault="00402706" w:rsidP="00DF0364">
            <w:pPr>
              <w:spacing w:after="0"/>
              <w:jc w:val="both"/>
              <w:rPr>
                <w:rFonts w:eastAsia="Times New Roman"/>
                <w:highlight w:val="yellow"/>
                <w:lang w:eastAsia="fr-BE"/>
              </w:rPr>
            </w:pPr>
          </w:p>
          <w:p w:rsidR="00402706" w:rsidRDefault="00402706" w:rsidP="00DF0364">
            <w:pPr>
              <w:spacing w:after="0"/>
              <w:jc w:val="both"/>
              <w:rPr>
                <w:rFonts w:eastAsia="Times New Roman"/>
                <w:highlight w:val="yellow"/>
                <w:lang w:eastAsia="fr-BE"/>
              </w:rPr>
            </w:pPr>
          </w:p>
          <w:p w:rsidR="00402706" w:rsidRDefault="00402706" w:rsidP="00DF036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rsidR="00402706" w:rsidRDefault="00402706" w:rsidP="00DF0364">
            <w:pPr>
              <w:spacing w:after="0"/>
              <w:jc w:val="both"/>
              <w:rPr>
                <w:rFonts w:eastAsia="Times New Roman"/>
                <w:highlight w:val="yellow"/>
                <w:lang w:eastAsia="fr-BE"/>
              </w:rPr>
            </w:pPr>
          </w:p>
          <w:p w:rsidR="00402706" w:rsidRDefault="00402706" w:rsidP="00DF036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Default="00402706" w:rsidP="00DF0364">
            <w:pPr>
              <w:spacing w:after="0"/>
              <w:jc w:val="both"/>
              <w:rPr>
                <w:rFonts w:eastAsia="Times New Roman"/>
                <w:highlight w:val="yellow"/>
                <w:lang w:eastAsia="fr-BE"/>
              </w:rPr>
            </w:pPr>
          </w:p>
          <w:p w:rsidR="00402706" w:rsidRDefault="00402706" w:rsidP="00DF0364">
            <w:pPr>
              <w:spacing w:after="0"/>
              <w:jc w:val="both"/>
              <w:rPr>
                <w:rFonts w:eastAsia="Times New Roman"/>
                <w:highlight w:val="yellow"/>
                <w:lang w:eastAsia="fr-BE"/>
              </w:rPr>
            </w:pPr>
          </w:p>
          <w:p w:rsidR="00402706" w:rsidRDefault="00402706" w:rsidP="00DF036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rsidR="00402706" w:rsidRDefault="00402706" w:rsidP="00DF0364">
            <w:pPr>
              <w:spacing w:after="0"/>
              <w:jc w:val="both"/>
              <w:rPr>
                <w:rFonts w:eastAsia="Times New Roman"/>
                <w:highlight w:val="yellow"/>
                <w:lang w:eastAsia="fr-BE"/>
              </w:rPr>
            </w:pPr>
          </w:p>
          <w:p w:rsidR="00402706" w:rsidRDefault="00402706" w:rsidP="00DF036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In het geval van een controleopdracht: beoordeel de opdrachtdossiers waarin de signifcante controlerisico’s gedocumenteerd zijn en de wijze waarop het kantoor op die risico’s inspeelt.</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2"/>
              </w:numPr>
              <w:spacing w:after="0"/>
              <w:ind w:left="320" w:hanging="289"/>
              <w:jc w:val="both"/>
              <w:rPr>
                <w:rFonts w:eastAsia="Calibri" w:cs="Times New Roman"/>
              </w:rPr>
            </w:pPr>
            <w:r>
              <w:t>Bepaal of de in het kader van de beoordeling geselecteerde opdrachtdossiers de uitgevoerde werkzaamheden weergeven ter onderbouwing van de significante oordeelsvormingen en conclusies die zijn getrokken..</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het voorgesteld verslag en geef aan of dit passend is in de gegeven omstandigheden.</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documentatie en stel vast of het bewijsmateriaal bevat waaruit blijkt dat de procedures inzake opdrachtaanvaarding (of -voortzetting) werden uitgevoerd.</w:t>
            </w:r>
          </w:p>
        </w:tc>
        <w:tc>
          <w:tcPr>
            <w:tcW w:w="442" w:type="pct"/>
          </w:tcPr>
          <w:p w:rsidR="00402706" w:rsidRPr="007038E4" w:rsidRDefault="00402706" w:rsidP="00DF036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beoordelingsprocedures wanneer gebruik wordt gemaakt van de werkzaamheden van andere auditors of accountants.</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procedures inzake de naleving van relevante wetgeving, voorschriften inzake beursnotering (indien van toepassing) en criteria (bijvoorbeeld IFRS).</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geschiktheid van de selectie van de leden van het opdrachtteam.</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opdrachtbrief.</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lastRenderedPageBreak/>
              <w:t>Beoordeel de bevestigingsbrief getekend door het management of degenen die verantwoordelijk zijn voor het bestuur.</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2"/>
              </w:numPr>
              <w:spacing w:after="0"/>
              <w:ind w:left="320" w:hanging="289"/>
              <w:jc w:val="both"/>
              <w:rPr>
                <w:rFonts w:eastAsia="Calibri" w:cs="Times New Roman"/>
              </w:rPr>
            </w:pPr>
            <w:r>
              <w:t>Beoordeel de conclusies betreffende bedrijfscontinuïteit.</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het bewijsmateriaal waaruit blijkt dat de opdrachtdossiers passend werden beoordeeld door de verantwoordelijken voor de assurance-opdracht.</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andere verslagen die in het kader van de opdracht werden uitgebracht, zoals door regelgeving vereiste verklaringen van financiële instellingen.</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omvang van niet-assurancediensten verleend aan de cliënt.</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szCs w:val="18"/>
              </w:rPr>
            </w:pPr>
            <w:r>
              <w:t>Beoordeel de significantie en afwikkeling van gecorrigeerde en niet-gecorrigeerde afwijkingen die tijdens de opdracht zijn geïdentificeerd;</w:t>
            </w:r>
          </w:p>
        </w:tc>
        <w:tc>
          <w:tcPr>
            <w:tcW w:w="442"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evaluatie door het opdrachtteam inzake onafhankelijkheid van het kantoor en van  de leden van het kantoor, met inbegrip van het personeel van kantoren die behoren tot hetzelfde netwerk, en van de deskundigen.</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2"/>
              </w:numPr>
              <w:spacing w:after="0"/>
              <w:ind w:left="320" w:hanging="289"/>
              <w:jc w:val="both"/>
              <w:rPr>
                <w:rFonts w:eastAsia="Calibri" w:cs="Times New Roman"/>
              </w:rPr>
            </w:pPr>
            <w:r>
              <w:t>Beoordeel het bewijsmateriaal waaruit blijkt dat andere vennoten werden geconsulteerd betreffende moeilijke of omstreden aangelegenheden en verschillen van mening en of de conclusies passend zijn en werden toegepast.</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adviezen van de geconsulteerde deskundigen.</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Beoordeel de aangelegenheden die dienen te worden meegedeeld aan het management en aan de met governance belaste personen en, indien van toepassing, aan regelgevende instanties.</w:t>
            </w:r>
          </w:p>
        </w:tc>
        <w:tc>
          <w:tcPr>
            <w:tcW w:w="442"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Houd een bespreking met de opdrachtpartner tijdens de opdrachtgerichte kwaliteitsbeoordeling ter beoordeling van beslissingen betreffende omstreden, moeilijke of complexe aspecten van de opdracht die een invloed hebben op de in de financiële overzichten te verstrekken toelichtingen.</w:t>
            </w:r>
          </w:p>
        </w:tc>
        <w:tc>
          <w:tcPr>
            <w:tcW w:w="442"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rFonts w:eastAsia="Calibri" w:cs="Times New Roman"/>
              </w:rPr>
            </w:pPr>
            <w:r>
              <w:t>Wanneer de aanbevelingen van de opdrachtgerichte kwaliteitsbeoordelaar niet worden aanvaard door de opdrachtpartner en de aangelegenheid niet is opgelost naar tevredenheid van de opdrachtgerichte kwaliteitsbeoordelaar, mag het verslag niet gedateerd worden zolang de aangelegenheid niet is opgelost door het  uitvoeren van de kantoorprocedures voor de behandeling van verschillen in meningen. Verstrek nadere informatie indien van toepassing.</w:t>
            </w:r>
          </w:p>
        </w:tc>
        <w:tc>
          <w:tcPr>
            <w:tcW w:w="442"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2"/>
              </w:numPr>
              <w:spacing w:after="0"/>
              <w:ind w:left="320" w:hanging="289"/>
              <w:jc w:val="both"/>
              <w:rPr>
                <w:szCs w:val="18"/>
              </w:rPr>
            </w:pPr>
            <w:r>
              <w:t>Bepaal of het dossier binnen de gestelde termijn werd afgesloten en of eventuele wijzigingen nadien in overeenstemming met de normen werden gedocumenteerd.</w:t>
            </w:r>
          </w:p>
        </w:tc>
        <w:tc>
          <w:tcPr>
            <w:tcW w:w="442"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02706" w:rsidRPr="007038E4" w:rsidTr="00DF0364">
        <w:tc>
          <w:tcPr>
            <w:tcW w:w="3750" w:type="pct"/>
          </w:tcPr>
          <w:p w:rsidR="00402706" w:rsidRPr="007038E4" w:rsidRDefault="00402706" w:rsidP="00402706">
            <w:pPr>
              <w:numPr>
                <w:ilvl w:val="1"/>
                <w:numId w:val="1"/>
              </w:numPr>
              <w:spacing w:after="0"/>
              <w:ind w:left="320" w:hanging="289"/>
              <w:jc w:val="both"/>
              <w:rPr>
                <w:szCs w:val="18"/>
              </w:rPr>
            </w:pPr>
            <w:r>
              <w:t>Bepaal of het opdrachtdossier gearchiveerd is overeenkomstig de door het kantoor vastgelegde regels, alsook de geldende regelgeving.</w:t>
            </w:r>
          </w:p>
        </w:tc>
        <w:tc>
          <w:tcPr>
            <w:tcW w:w="442"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rsidR="00402706" w:rsidRPr="007038E4" w:rsidRDefault="00402706" w:rsidP="00DF0364">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rsidR="00402706" w:rsidRDefault="00402706" w:rsidP="00402706">
      <w:pPr>
        <w:spacing w:after="0"/>
        <w:jc w:val="both"/>
        <w:rPr>
          <w:b/>
        </w:rPr>
      </w:pPr>
    </w:p>
    <w:p w:rsidR="00402706" w:rsidRDefault="00402706" w:rsidP="00402706">
      <w:r>
        <w:br w:type="page"/>
      </w:r>
    </w:p>
    <w:p w:rsidR="00402706" w:rsidRPr="00991668" w:rsidRDefault="00402706" w:rsidP="00402706">
      <w:pPr>
        <w:spacing w:after="0"/>
        <w:jc w:val="both"/>
        <w:rPr>
          <w:rFonts w:eastAsia="Times New Roman" w:cs="Times New Roman"/>
          <w:b/>
        </w:rPr>
      </w:pPr>
      <w:r>
        <w:rPr>
          <w:b/>
        </w:rPr>
        <w:lastRenderedPageBreak/>
        <w:t>Commentaar:</w:t>
      </w:r>
    </w:p>
    <w:p w:rsidR="00402706" w:rsidRDefault="00402706" w:rsidP="00402706">
      <w:pPr>
        <w:spacing w:after="0"/>
        <w:jc w:val="both"/>
        <w:rPr>
          <w:rFonts w:eastAsia="Times New Roman" w:cs="Times New Roman"/>
          <w:lang w:eastAsia="fr-BE"/>
        </w:rPr>
      </w:pPr>
    </w:p>
    <w:p w:rsidR="00402706" w:rsidRPr="007038E4" w:rsidRDefault="00402706" w:rsidP="00402706">
      <w:pPr>
        <w:spacing w:after="0"/>
        <w:jc w:val="both"/>
        <w:rPr>
          <w:rFonts w:eastAsia="Times New Roman" w:cs="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1276"/>
        <w:gridCol w:w="2126"/>
      </w:tblGrid>
      <w:tr w:rsidR="00402706" w:rsidRPr="007038E4" w:rsidTr="00DF0364">
        <w:tc>
          <w:tcPr>
            <w:tcW w:w="3510" w:type="dxa"/>
            <w:shd w:val="clear" w:color="auto" w:fill="auto"/>
          </w:tcPr>
          <w:p w:rsidR="00402706" w:rsidRPr="007038E4" w:rsidRDefault="00402706" w:rsidP="00DF0364">
            <w:pPr>
              <w:spacing w:after="0" w:line="240" w:lineRule="auto"/>
              <w:jc w:val="center"/>
              <w:rPr>
                <w:rFonts w:eastAsia="Times New Roman"/>
                <w:b/>
                <w:lang w:eastAsia="fr-BE"/>
              </w:rPr>
            </w:pPr>
          </w:p>
        </w:tc>
        <w:tc>
          <w:tcPr>
            <w:tcW w:w="2410" w:type="dxa"/>
            <w:shd w:val="clear" w:color="auto" w:fill="auto"/>
          </w:tcPr>
          <w:p w:rsidR="00402706" w:rsidRPr="007038E4" w:rsidRDefault="00402706" w:rsidP="00DF0364">
            <w:pPr>
              <w:spacing w:after="0" w:line="240" w:lineRule="auto"/>
              <w:jc w:val="center"/>
              <w:rPr>
                <w:rFonts w:eastAsia="Times New Roman"/>
                <w:b/>
              </w:rPr>
            </w:pPr>
            <w:r>
              <w:rPr>
                <w:b/>
              </w:rPr>
              <w:t>Naam</w:t>
            </w:r>
          </w:p>
        </w:tc>
        <w:tc>
          <w:tcPr>
            <w:tcW w:w="1276" w:type="dxa"/>
            <w:shd w:val="clear" w:color="auto" w:fill="auto"/>
          </w:tcPr>
          <w:p w:rsidR="00402706" w:rsidRPr="007038E4" w:rsidRDefault="00402706" w:rsidP="00DF0364">
            <w:pPr>
              <w:spacing w:after="0" w:line="240" w:lineRule="auto"/>
              <w:jc w:val="center"/>
              <w:rPr>
                <w:rFonts w:eastAsia="Times New Roman"/>
                <w:b/>
              </w:rPr>
            </w:pPr>
            <w:r>
              <w:rPr>
                <w:b/>
              </w:rPr>
              <w:t>Datum</w:t>
            </w:r>
          </w:p>
        </w:tc>
        <w:tc>
          <w:tcPr>
            <w:tcW w:w="2126" w:type="dxa"/>
            <w:shd w:val="clear" w:color="auto" w:fill="auto"/>
          </w:tcPr>
          <w:p w:rsidR="00402706" w:rsidRPr="007038E4" w:rsidRDefault="00402706" w:rsidP="00DF0364">
            <w:pPr>
              <w:spacing w:after="0" w:line="240" w:lineRule="auto"/>
              <w:jc w:val="center"/>
              <w:rPr>
                <w:rFonts w:eastAsia="Times New Roman"/>
                <w:b/>
              </w:rPr>
            </w:pPr>
            <w:r>
              <w:rPr>
                <w:b/>
              </w:rPr>
              <w:t>Handtekening</w:t>
            </w:r>
          </w:p>
        </w:tc>
      </w:tr>
      <w:tr w:rsidR="00402706" w:rsidRPr="007038E4" w:rsidTr="00DF0364">
        <w:trPr>
          <w:trHeight w:val="747"/>
        </w:trPr>
        <w:tc>
          <w:tcPr>
            <w:tcW w:w="3510" w:type="dxa"/>
            <w:shd w:val="clear" w:color="auto" w:fill="auto"/>
          </w:tcPr>
          <w:p w:rsidR="00402706" w:rsidRPr="007038E4" w:rsidRDefault="00402706" w:rsidP="00DF0364">
            <w:pPr>
              <w:spacing w:after="0" w:line="240" w:lineRule="auto"/>
              <w:jc w:val="both"/>
              <w:rPr>
                <w:rFonts w:eastAsia="Times New Roman"/>
              </w:rPr>
            </w:pPr>
            <w:r>
              <w:t>Voor de opdracht verantwoordelijke vennoot (of andere bedrijfsrevisor)</w:t>
            </w:r>
          </w:p>
        </w:tc>
        <w:tc>
          <w:tcPr>
            <w:tcW w:w="2410" w:type="dxa"/>
            <w:shd w:val="clear" w:color="auto" w:fill="auto"/>
          </w:tcPr>
          <w:p w:rsidR="00402706" w:rsidRPr="007038E4" w:rsidRDefault="00402706" w:rsidP="00DF0364">
            <w:pPr>
              <w:spacing w:after="0" w:line="240" w:lineRule="auto"/>
              <w:jc w:val="both"/>
              <w:rPr>
                <w:rFonts w:eastAsia="Times New Roman"/>
                <w:highlight w:val="yellow"/>
              </w:rPr>
            </w:pPr>
            <w:r>
              <w:rPr>
                <w:highlight w:val="yellow"/>
              </w:rPr>
              <w:t>     </w:t>
            </w:r>
          </w:p>
        </w:tc>
        <w:tc>
          <w:tcPr>
            <w:tcW w:w="1276" w:type="dxa"/>
            <w:shd w:val="clear" w:color="auto" w:fill="auto"/>
          </w:tcPr>
          <w:p w:rsidR="00402706" w:rsidRPr="007038E4" w:rsidRDefault="00402706" w:rsidP="00DF0364">
            <w:pPr>
              <w:spacing w:after="0" w:line="240" w:lineRule="auto"/>
              <w:jc w:val="both"/>
              <w:rPr>
                <w:rFonts w:eastAsia="Times New Roman"/>
                <w:highlight w:val="yellow"/>
              </w:rPr>
            </w:pPr>
            <w:r>
              <w:rPr>
                <w:highlight w:val="yellow"/>
              </w:rPr>
              <w:t>     </w:t>
            </w:r>
          </w:p>
        </w:tc>
        <w:tc>
          <w:tcPr>
            <w:tcW w:w="2126" w:type="dxa"/>
            <w:shd w:val="clear" w:color="auto" w:fill="auto"/>
          </w:tcPr>
          <w:p w:rsidR="00402706" w:rsidRPr="007038E4" w:rsidRDefault="00402706" w:rsidP="00DF0364">
            <w:pPr>
              <w:spacing w:after="0" w:line="240" w:lineRule="auto"/>
              <w:jc w:val="both"/>
              <w:rPr>
                <w:rFonts w:eastAsia="Times New Roman"/>
                <w:highlight w:val="yellow"/>
              </w:rPr>
            </w:pPr>
            <w:r>
              <w:rPr>
                <w:highlight w:val="yellow"/>
              </w:rPr>
              <w:t>     </w:t>
            </w:r>
          </w:p>
        </w:tc>
      </w:tr>
      <w:tr w:rsidR="00402706" w:rsidRPr="007038E4" w:rsidTr="00DF0364">
        <w:tc>
          <w:tcPr>
            <w:tcW w:w="3510" w:type="dxa"/>
            <w:shd w:val="clear" w:color="auto" w:fill="auto"/>
          </w:tcPr>
          <w:p w:rsidR="00402706" w:rsidRPr="007038E4" w:rsidRDefault="00402706" w:rsidP="00DF0364">
            <w:pPr>
              <w:spacing w:after="0" w:line="240" w:lineRule="auto"/>
              <w:jc w:val="both"/>
              <w:rPr>
                <w:rFonts w:eastAsia="Times New Roman"/>
              </w:rPr>
            </w:pPr>
            <w:r>
              <w:t>Verantwoordelijke voor het monitoringproces van het intern kwaliteitsbeheersingssysteem</w:t>
            </w:r>
          </w:p>
        </w:tc>
        <w:tc>
          <w:tcPr>
            <w:tcW w:w="2410" w:type="dxa"/>
            <w:shd w:val="clear" w:color="auto" w:fill="auto"/>
          </w:tcPr>
          <w:p w:rsidR="00402706" w:rsidRPr="007038E4" w:rsidRDefault="00402706" w:rsidP="00DF0364">
            <w:pPr>
              <w:spacing w:after="0" w:line="240" w:lineRule="auto"/>
              <w:jc w:val="both"/>
              <w:rPr>
                <w:rFonts w:eastAsia="Times New Roman"/>
                <w:highlight w:val="yellow"/>
              </w:rPr>
            </w:pPr>
            <w:r>
              <w:rPr>
                <w:highlight w:val="yellow"/>
              </w:rPr>
              <w:t>     </w:t>
            </w:r>
          </w:p>
        </w:tc>
        <w:tc>
          <w:tcPr>
            <w:tcW w:w="1276" w:type="dxa"/>
            <w:shd w:val="clear" w:color="auto" w:fill="auto"/>
          </w:tcPr>
          <w:p w:rsidR="00402706" w:rsidRPr="007038E4" w:rsidRDefault="00402706" w:rsidP="00DF0364">
            <w:pPr>
              <w:spacing w:after="0" w:line="240" w:lineRule="auto"/>
              <w:jc w:val="both"/>
              <w:rPr>
                <w:rFonts w:eastAsia="Times New Roman"/>
                <w:highlight w:val="yellow"/>
              </w:rPr>
            </w:pPr>
            <w:r>
              <w:rPr>
                <w:highlight w:val="yellow"/>
              </w:rPr>
              <w:t>     </w:t>
            </w:r>
          </w:p>
        </w:tc>
        <w:tc>
          <w:tcPr>
            <w:tcW w:w="2126" w:type="dxa"/>
            <w:shd w:val="clear" w:color="auto" w:fill="auto"/>
          </w:tcPr>
          <w:p w:rsidR="00402706" w:rsidRPr="007038E4" w:rsidRDefault="00402706" w:rsidP="00DF0364">
            <w:pPr>
              <w:spacing w:after="0" w:line="240" w:lineRule="auto"/>
              <w:jc w:val="both"/>
              <w:rPr>
                <w:rFonts w:eastAsia="Times New Roman"/>
                <w:highlight w:val="yellow"/>
              </w:rPr>
            </w:pPr>
            <w:r>
              <w:rPr>
                <w:highlight w:val="yellow"/>
              </w:rPr>
              <w:t>     </w:t>
            </w:r>
          </w:p>
        </w:tc>
      </w:tr>
    </w:tbl>
    <w:p w:rsidR="00402706" w:rsidRPr="007038E4" w:rsidRDefault="00402706" w:rsidP="00402706">
      <w:pPr>
        <w:spacing w:before="120" w:after="120" w:line="312" w:lineRule="auto"/>
        <w:jc w:val="both"/>
        <w:rPr>
          <w:rFonts w:eastAsia="Times New Roman" w:cs="Times New Roman"/>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402706" w:rsidRPr="007038E4" w:rsidSect="00590FE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B00" w:rsidRDefault="00171B00" w:rsidP="00402706">
      <w:pPr>
        <w:spacing w:after="0" w:line="240" w:lineRule="auto"/>
      </w:pPr>
      <w:r>
        <w:separator/>
      </w:r>
    </w:p>
  </w:endnote>
  <w:endnote w:type="continuationSeparator" w:id="0">
    <w:p w:rsidR="00171B00" w:rsidRDefault="00171B00" w:rsidP="0040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B6" w:rsidRDefault="00DC5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402706" w:rsidRDefault="00402706" w:rsidP="00402706">
        <w:pPr>
          <w:pStyle w:val="Footer"/>
          <w:ind w:right="360"/>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325</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B6" w:rsidRDefault="00DC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B00" w:rsidRDefault="00171B00" w:rsidP="00402706">
      <w:pPr>
        <w:spacing w:after="0" w:line="240" w:lineRule="auto"/>
      </w:pPr>
      <w:r>
        <w:separator/>
      </w:r>
    </w:p>
  </w:footnote>
  <w:footnote w:type="continuationSeparator" w:id="0">
    <w:p w:rsidR="00171B00" w:rsidRDefault="00171B00" w:rsidP="0040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B6" w:rsidRDefault="00DC5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B6" w:rsidRDefault="00DC5CB6" w:rsidP="00DC5CB6">
    <w:pPr>
      <w:pStyle w:val="Header"/>
      <w:jc w:val="right"/>
    </w:pPr>
    <w:r>
      <w:t>Uw logo hier invoegen</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B6" w:rsidRDefault="00DC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A88"/>
    <w:multiLevelType w:val="multilevel"/>
    <w:tmpl w:val="E88A74E8"/>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936B88"/>
    <w:multiLevelType w:val="multilevel"/>
    <w:tmpl w:val="1AC8F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06"/>
    <w:rsid w:val="00056AF1"/>
    <w:rsid w:val="00073884"/>
    <w:rsid w:val="000A0B38"/>
    <w:rsid w:val="000D1BE9"/>
    <w:rsid w:val="00115D7F"/>
    <w:rsid w:val="00136D43"/>
    <w:rsid w:val="0014238F"/>
    <w:rsid w:val="00171B00"/>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02706"/>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C5CB6"/>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B8BDF-A4C1-4957-A93A-EC11AF97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706"/>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402706"/>
    <w:pPr>
      <w:pageBreakBefore/>
      <w:spacing w:after="120"/>
      <w:outlineLvl w:val="1"/>
    </w:pPr>
    <w:rPr>
      <w:b/>
      <w:sz w:val="44"/>
      <w:szCs w:val="44"/>
    </w:rPr>
  </w:style>
  <w:style w:type="paragraph" w:styleId="Heading4">
    <w:name w:val="heading 4"/>
    <w:basedOn w:val="Normal"/>
    <w:next w:val="Normal"/>
    <w:link w:val="Heading4Char"/>
    <w:unhideWhenUsed/>
    <w:qFormat/>
    <w:rsid w:val="00402706"/>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706"/>
    <w:rPr>
      <w:rFonts w:ascii="Arial" w:hAnsi="Arial" w:cs="Arial"/>
      <w:b/>
      <w:sz w:val="44"/>
      <w:szCs w:val="44"/>
      <w:lang w:val="nl-BE"/>
    </w:rPr>
  </w:style>
  <w:style w:type="character" w:customStyle="1" w:styleId="Heading4Char">
    <w:name w:val="Heading 4 Char"/>
    <w:basedOn w:val="DefaultParagraphFont"/>
    <w:link w:val="Heading4"/>
    <w:rsid w:val="00402706"/>
    <w:rPr>
      <w:rFonts w:ascii="Arial" w:eastAsia="Times New Roman" w:hAnsi="Arial" w:cs="Arial"/>
      <w:bCs/>
      <w:color w:val="365F91"/>
      <w:sz w:val="28"/>
      <w:szCs w:val="24"/>
      <w:lang w:val="nl-BE" w:eastAsia="fr-BE"/>
    </w:rPr>
  </w:style>
  <w:style w:type="paragraph" w:styleId="NoSpacing">
    <w:name w:val="No Spacing"/>
    <w:uiPriority w:val="1"/>
    <w:qFormat/>
    <w:rsid w:val="00402706"/>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4027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2706"/>
    <w:rPr>
      <w:rFonts w:ascii="Arial" w:hAnsi="Arial" w:cs="Arial"/>
      <w:sz w:val="20"/>
      <w:szCs w:val="20"/>
      <w:lang w:val="nl-BE"/>
    </w:rPr>
  </w:style>
  <w:style w:type="paragraph" w:styleId="Footer">
    <w:name w:val="footer"/>
    <w:basedOn w:val="Normal"/>
    <w:link w:val="FooterChar"/>
    <w:uiPriority w:val="99"/>
    <w:unhideWhenUsed/>
    <w:rsid w:val="004027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2706"/>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1C831-0F2E-4CE5-A604-467D316E56FF}"/>
</file>

<file path=customXml/itemProps2.xml><?xml version="1.0" encoding="utf-8"?>
<ds:datastoreItem xmlns:ds="http://schemas.openxmlformats.org/officeDocument/2006/customXml" ds:itemID="{F989AECF-193D-4C17-A3B9-BF00341611A9}"/>
</file>

<file path=customXml/itemProps3.xml><?xml version="1.0" encoding="utf-8"?>
<ds:datastoreItem xmlns:ds="http://schemas.openxmlformats.org/officeDocument/2006/customXml" ds:itemID="{01E53623-09F2-4320-A4AD-527A375DF33B}"/>
</file>

<file path=customXml/itemProps4.xml><?xml version="1.0" encoding="utf-8"?>
<ds:datastoreItem xmlns:ds="http://schemas.openxmlformats.org/officeDocument/2006/customXml" ds:itemID="{E2891A40-0A91-4181-BB18-32ABC66E509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5522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2018-11-14T09:52:00Z</dcterms:created>
  <dcterms:modified xsi:type="dcterms:W3CDTF">2018-11-19T14:12:00Z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