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D3" w:rsidRPr="00991668" w:rsidRDefault="000337D3" w:rsidP="000337D3">
      <w:pPr>
        <w:pStyle w:val="Heading2"/>
        <w:rPr>
          <w:rFonts w:eastAsia="Calibri"/>
        </w:rPr>
      </w:pPr>
      <w:bookmarkStart w:id="0" w:name="_Toc528597700"/>
      <w:bookmarkStart w:id="1" w:name="_Toc529272332"/>
      <w:bookmarkStart w:id="2" w:name="_Toc529272850"/>
      <w:bookmarkStart w:id="3" w:name="_Toc529353583"/>
      <w:bookmarkStart w:id="4" w:name="_Toc529806529"/>
      <w:bookmarkStart w:id="5" w:name="_Toc529806644"/>
      <w:r>
        <w:t>Voorbeeld van opdrachtbrief voor de opdrachtgerichte kwaliteitsbeoordelaar (EQCR)</w:t>
      </w:r>
      <w:bookmarkEnd w:id="0"/>
      <w:bookmarkEnd w:id="1"/>
      <w:bookmarkEnd w:id="2"/>
      <w:bookmarkEnd w:id="3"/>
      <w:bookmarkEnd w:id="4"/>
      <w:bookmarkEnd w:id="5"/>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i/>
          <w:noProof/>
          <w:color w:val="000000"/>
        </w:rPr>
      </w:pPr>
      <w:r>
        <w:rPr>
          <w:i/>
          <w:color w:val="000000"/>
        </w:rPr>
        <w:t xml:space="preserve">De hiernavolgende brief wordt gegeven bij wijze van voorbeeld voor een opdrachtgerichte kwaliteitsbeoordeling in het kader van de toepassing van ISQC 1 en van de wet van 7 december 2016 tot organisatie van het beroep van en het publiek toezicht op de bedrijfsrevisoren (hierna “wet van 7 december 2016”). Deze voorbeeldbrief heeft geen dwingend karakter maar dient enkel als referentiekader en zal dus dienen te worden aangepast volgens de specifieke vereisten en omstandigheden. </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i/>
          <w:noProof/>
          <w:color w:val="000000"/>
        </w:rPr>
      </w:pP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Geachte Confrater [</w:t>
      </w:r>
      <w:r>
        <w:rPr>
          <w:color w:val="000000"/>
          <w:highlight w:val="yellow"/>
        </w:rPr>
        <w:t>bedrijfsrevisor</w:t>
      </w:r>
      <w:r>
        <w:rPr>
          <w:color w:val="000000"/>
        </w:rPr>
        <w:t>]</w:t>
      </w:r>
      <w:r w:rsidRPr="00991668">
        <w:rPr>
          <w:rFonts w:eastAsia="Times New Roman"/>
          <w:noProof/>
          <w:color w:val="000000"/>
          <w:vertAlign w:val="superscript"/>
        </w:rPr>
        <w:footnoteReference w:id="1"/>
      </w:r>
      <w:r>
        <w:rPr>
          <w:color w:val="000000"/>
        </w:rPr>
        <w:t>,</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Verwijzend naar ons aangenaam onderhoud inzake de uitvoering van een opdrachtgerichte kwaliteitsbeoordeling in het kader van de toepassing van ISQC 1 en van de wet van 7 december 2016 tot organisatie van het beroep van en het publiek toezicht op de bedrijfsrevisoren (hierna “wet van 7 december 2016”), wensen wij hierbij een aantal zaken te verduidelijken, teneinde de voorwaarden waaronder wij de opdracht kunnen uitoefenen, te bepalen. </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iCs/>
          <w:noProof/>
          <w:color w:val="000000"/>
        </w:rPr>
      </w:pPr>
      <w:r>
        <w:rPr>
          <w:color w:val="000000"/>
        </w:rPr>
        <w:t>Wij zullen onze opdracht uitvoeren met de vereiste zorg en overeenkomstig de van toepassing zijnde beroepsregels en wettelijke bepalingen en, in het bijzonder, ISCQ 1 (met name § 35 tot 42), die de omvang en de essentiële kenmerken van deze opdracht vastlegt.</w:t>
      </w:r>
      <w:r>
        <w:rPr>
          <w:iCs/>
          <w:color w:val="000000"/>
        </w:rPr>
        <w:t xml:space="preserve"> </w:t>
      </w:r>
      <w:r>
        <w:rPr>
          <w:bCs/>
          <w:color w:val="000000"/>
        </w:rPr>
        <w:t>Behoudens indien anders bepaald door de wet of de beroepsregels, houdt deze opdracht geen resultaatsverbintenis maar wel een middelenverbintenis in.</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Onze opdracht beoogt het uitvoeren van een kwaliteitsbeoordeling van uw </w:t>
      </w:r>
      <w:r>
        <w:rPr>
          <w:color w:val="000000"/>
          <w:highlight w:val="yellow"/>
        </w:rPr>
        <w:t>controles van financiële overzichten van organisaties van openbaar belang/van vennootschappen genoteerd op een niet-gereglementeerde markt en/of van controles van […]/van beoordelingen […] die aan de volgende criteria beantwoorden: […].</w:t>
      </w:r>
      <w:r>
        <w:rPr>
          <w:color w:val="000000"/>
        </w:rPr>
        <w:t xml:space="preserve">  </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Deze beoordelingsopdracht bestaat erin op of voorafgaand aan de datum van de rapportage een objectieve evaluatie te verschaffen van de significante oordeelsvormingen die het opdrachtteam heeft gemaakt en de conclusies die het bij het formuleren van de rapportage heeft getrokken.</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De datum van de controleverklaring van de gecontroleerde opdracht(en) zal niet voorafgaan aan de voltooiing van deze opdracht. </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De beoordelingsopdracht zal bestaan uit: </w:t>
      </w:r>
    </w:p>
    <w:p w:rsidR="000337D3" w:rsidRPr="00991668" w:rsidRDefault="000337D3" w:rsidP="000337D3">
      <w:pPr>
        <w:numPr>
          <w:ilvl w:val="0"/>
          <w:numId w:val="1"/>
        </w:num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het bespreken van de significante aangelegenheden met de opdrachtpartner; </w:t>
      </w:r>
    </w:p>
    <w:p w:rsidR="000337D3" w:rsidRPr="00991668" w:rsidRDefault="000337D3" w:rsidP="000337D3">
      <w:pPr>
        <w:numPr>
          <w:ilvl w:val="0"/>
          <w:numId w:val="1"/>
        </w:num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het beoordelen van de financiële overzichten of andere informatie over het object van onderzoek, en van het ontwerpverslag; </w:t>
      </w:r>
    </w:p>
    <w:p w:rsidR="000337D3" w:rsidRPr="00991668" w:rsidRDefault="000337D3" w:rsidP="000337D3">
      <w:pPr>
        <w:numPr>
          <w:ilvl w:val="0"/>
          <w:numId w:val="1"/>
        </w:num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het beoordelen van de geselecteerde opdrachtdocumentatie betreffende significante oordeelsvormingen die het opdrachtteam heeft gemaakt en de conclusies die zijn getrokken; en</w:t>
      </w:r>
    </w:p>
    <w:p w:rsidR="000337D3" w:rsidRPr="00991668" w:rsidRDefault="000337D3" w:rsidP="000337D3">
      <w:pPr>
        <w:numPr>
          <w:ilvl w:val="0"/>
          <w:numId w:val="1"/>
        </w:num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het evalueren van de bij het formuleren van het verslag bereikte conclusies en het overwegen of het voorgesteld verslag passend is.  </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lastRenderedPageBreak/>
        <w:t>Voor de controle van de financiële overzichten van de organisaties van openbaar belang zal onze beoordelingsopdracht eveneens rekening houden met de volgende punten:</w:t>
      </w:r>
    </w:p>
    <w:p w:rsidR="000337D3" w:rsidRPr="00991668" w:rsidRDefault="000337D3" w:rsidP="000337D3">
      <w:pPr>
        <w:numPr>
          <w:ilvl w:val="0"/>
          <w:numId w:val="1"/>
        </w:num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de evaluatie door het opdrachtteam van de onafhankelijkheid van het kantoor met betrekking tot de specifieke opdracht;</w:t>
      </w:r>
    </w:p>
    <w:p w:rsidR="000337D3" w:rsidRPr="00991668" w:rsidRDefault="000337D3" w:rsidP="000337D3">
      <w:pPr>
        <w:numPr>
          <w:ilvl w:val="0"/>
          <w:numId w:val="1"/>
        </w:num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de vraag of passende consultatie heeft plaatsgevonden over aangelegenheden waarover verschillen van mening bestaan of andere moeilijke of omstreden aangelegenheden, alsmede de conclusies die uit deze consultatie voortkomen; en </w:t>
      </w:r>
    </w:p>
    <w:p w:rsidR="000337D3" w:rsidRPr="00991668" w:rsidRDefault="000337D3" w:rsidP="000337D3">
      <w:pPr>
        <w:numPr>
          <w:ilvl w:val="0"/>
          <w:numId w:val="1"/>
        </w:num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de vraag of de voor de beoordeling geselecteerde documentatie de met betrekking tot de significante oordeelsvormingen uitgevoerde werkzaamheden weerspiegelt en de bereikte conclusies onderbouwt. </w:t>
      </w:r>
    </w:p>
    <w:p w:rsidR="000337D3"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De beoordeling dient voldoende te worden gedocumenteerd, op basis van bijvoorbeeld de door het ICCI voorgestelde checklist Opdrachtgerichte kwaliteitsbeoordeling (</w:t>
      </w:r>
      <w:r>
        <w:rPr>
          <w:i/>
          <w:iCs/>
          <w:color w:val="000000"/>
        </w:rPr>
        <w:t>cf.</w:t>
      </w:r>
      <w:r>
        <w:rPr>
          <w:color w:val="000000"/>
        </w:rPr>
        <w:t xml:space="preserve"> Handboek intern kwaliteitsbeheersingssysteem).</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De goede uitvoering van onze opdracht veronderstelt de medewerking van </w:t>
      </w:r>
      <w:r>
        <w:rPr>
          <w:color w:val="000000"/>
          <w:highlight w:val="yellow"/>
        </w:rPr>
        <w:t>de verantwoordelijke partner(s)</w:t>
      </w:r>
      <w:r>
        <w:rPr>
          <w:color w:val="000000"/>
        </w:rPr>
        <w:t xml:space="preserve"> van de gecontroleerde opdrachten, temeer daar de volledige verantwoordelijkheid voor </w:t>
      </w:r>
      <w:r>
        <w:rPr>
          <w:color w:val="000000"/>
          <w:highlight w:val="yellow"/>
        </w:rPr>
        <w:t>het uitvoeren van de gecontroleerde opdracht/het opstellen van de controleverklaring</w:t>
      </w:r>
      <w:r>
        <w:rPr>
          <w:color w:val="000000"/>
        </w:rPr>
        <w:t xml:space="preserve"> bij </w:t>
      </w:r>
      <w:r>
        <w:rPr>
          <w:color w:val="000000"/>
          <w:highlight w:val="yellow"/>
        </w:rPr>
        <w:t>hem/hen</w:t>
      </w:r>
      <w:r>
        <w:rPr>
          <w:color w:val="000000"/>
        </w:rPr>
        <w:t xml:space="preserve"> berust.</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Onze opdracht heeft een duur van maximum [</w:t>
      </w:r>
      <w:r>
        <w:rPr>
          <w:color w:val="000000"/>
          <w:highlight w:val="yellow"/>
        </w:rPr>
        <w:t>…</w:t>
      </w:r>
      <w:r>
        <w:rPr>
          <w:color w:val="000000"/>
        </w:rPr>
        <w:t xml:space="preserve">] jaar, en is hernieuwbaar. Deze zal aanvangen op de datum </w:t>
      </w:r>
      <w:r>
        <w:rPr>
          <w:color w:val="000000"/>
          <w:highlight w:val="yellow"/>
        </w:rPr>
        <w:t>van de beslissing van het bestuursorgaan dat ons zal aanduiden/vermeld in de opdrachtplanning.</w:t>
      </w:r>
      <w:r>
        <w:rPr>
          <w:color w:val="000000"/>
        </w:rPr>
        <w:t xml:space="preserve"> </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De vergoeding voor onze beoordelingsopdracht is e</w:t>
      </w:r>
      <w:r>
        <w:rPr>
          <w:color w:val="000000"/>
          <w:highlight w:val="yellow"/>
        </w:rPr>
        <w:t>en vast bedrag van ... EUR</w:t>
      </w:r>
      <w:r>
        <w:rPr>
          <w:color w:val="000000"/>
        </w:rPr>
        <w:t xml:space="preserve"> (exclusief btw). Er wordt overeengekomen dat ons kantoor u zijn factuur zal laten geworden na de uitvoering van de opdracht. </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Het bovenvermeld bedrag zal jaarlijks op de facturatiedag geïndexeerd worden, in functie van de evolutie van het indexcijfer. </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Onze beoordelingsopdracht maakt integraal deel uit van de controleopdracht en is derhalve, ten aanzien van derden, onderworpen aan dezelfde aansprakelijkheidsbeperking dan deze die van toepassing is op de opdracht die het voorwerp uitmaakt van de kwaliteitsbeoordeling.</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bCs/>
          <w:noProof/>
          <w:color w:val="000000"/>
        </w:rPr>
      </w:pPr>
      <w:r>
        <w:rPr>
          <w:bCs/>
          <w:color w:val="000000"/>
        </w:rPr>
        <w:t>U zal moeten nagaan of uw kantoor gedekt is voor de opdrachtgerichte kwaliteitsbeoordeling, vooraleer de opdracht kan starten.</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Wij bevestigen dat wij afdoende gedekt zijn door onze eigen verzekeringspolis ten aanzien van deze contractuele relatie met u. </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Wij bevestigen dat wij gedekt zijn</w:t>
      </w:r>
      <w:r w:rsidRPr="00991668">
        <w:rPr>
          <w:rFonts w:eastAsia="Times New Roman"/>
          <w:noProof/>
          <w:color w:val="000000"/>
          <w:vertAlign w:val="superscript"/>
        </w:rPr>
        <w:footnoteReference w:id="2"/>
      </w:r>
      <w:r>
        <w:rPr>
          <w:color w:val="000000"/>
        </w:rPr>
        <w:t>:</w:t>
      </w:r>
    </w:p>
    <w:p w:rsidR="000337D3" w:rsidRPr="00991668" w:rsidRDefault="000337D3" w:rsidP="000337D3">
      <w:pPr>
        <w:numPr>
          <w:ilvl w:val="0"/>
          <w:numId w:val="2"/>
        </w:numPr>
        <w:overflowPunct w:val="0"/>
        <w:autoSpaceDE w:val="0"/>
        <w:autoSpaceDN w:val="0"/>
        <w:adjustRightInd w:val="0"/>
        <w:spacing w:before="220" w:after="0" w:line="240" w:lineRule="auto"/>
        <w:contextualSpacing/>
        <w:jc w:val="both"/>
        <w:textAlignment w:val="baseline"/>
        <w:rPr>
          <w:rFonts w:eastAsia="Times New Roman"/>
          <w:noProof/>
          <w:color w:val="000000"/>
        </w:rPr>
      </w:pPr>
      <w:r>
        <w:rPr>
          <w:color w:val="000000"/>
        </w:rPr>
        <w:t>voor de controle- of beoordelingsopdracht betreffende financiële overzichten van organisaties van openbaar belang in de zin van artikel 4/1 van het Wetboek van vennootschappen</w:t>
      </w:r>
      <w:r w:rsidR="0021098F">
        <w:rPr>
          <w:color w:val="000000"/>
        </w:rPr>
        <w:t>/</w:t>
      </w:r>
      <w:r w:rsidR="0021098F">
        <w:t>artikel 1:12 van het Wetboek van vennootschappen en verenigingen</w:t>
      </w:r>
      <w:bookmarkStart w:id="6" w:name="_GoBack"/>
      <w:bookmarkEnd w:id="6"/>
      <w:r>
        <w:rPr>
          <w:color w:val="000000"/>
        </w:rPr>
        <w:t xml:space="preserve"> – gelet op het feit dat dit een door de wet aan de bedrijfsrevisoren voorbehouden opdracht is – krachtens artikel 24 van de wet van 7 december 2016 tot 12 miljoen EUR;</w:t>
      </w:r>
    </w:p>
    <w:p w:rsidR="000337D3" w:rsidRPr="00991668" w:rsidRDefault="000337D3" w:rsidP="000337D3">
      <w:pPr>
        <w:numPr>
          <w:ilvl w:val="0"/>
          <w:numId w:val="2"/>
        </w:numPr>
        <w:overflowPunct w:val="0"/>
        <w:autoSpaceDE w:val="0"/>
        <w:autoSpaceDN w:val="0"/>
        <w:adjustRightInd w:val="0"/>
        <w:spacing w:before="220" w:after="0" w:line="240" w:lineRule="auto"/>
        <w:contextualSpacing/>
        <w:jc w:val="both"/>
        <w:textAlignment w:val="baseline"/>
        <w:rPr>
          <w:rFonts w:eastAsia="Times New Roman"/>
          <w:noProof/>
          <w:color w:val="000000"/>
        </w:rPr>
      </w:pPr>
      <w:r>
        <w:rPr>
          <w:color w:val="000000"/>
        </w:rPr>
        <w:t>voor de controle- of beoordelingsopdracht betreffende financiële overzichten van vennootschappen genoteerd op een niet-gereglementeerde markt – gelet op het feit dat dit ook een door de wet aan de bedrijfsrevisoren voorbehouden opdracht is – krachtens artikel 24 van de wet van 7 december 2016 tot 3 miljoen EUR;</w:t>
      </w:r>
    </w:p>
    <w:p w:rsidR="000337D3" w:rsidRPr="00991668" w:rsidRDefault="000337D3" w:rsidP="000337D3">
      <w:pPr>
        <w:numPr>
          <w:ilvl w:val="0"/>
          <w:numId w:val="2"/>
        </w:numPr>
        <w:overflowPunct w:val="0"/>
        <w:autoSpaceDE w:val="0"/>
        <w:autoSpaceDN w:val="0"/>
        <w:adjustRightInd w:val="0"/>
        <w:spacing w:before="220" w:after="0" w:line="240" w:lineRule="auto"/>
        <w:contextualSpacing/>
        <w:jc w:val="both"/>
        <w:textAlignment w:val="baseline"/>
        <w:rPr>
          <w:rFonts w:eastAsia="Times New Roman"/>
          <w:noProof/>
          <w:color w:val="000000"/>
        </w:rPr>
      </w:pPr>
      <w:r>
        <w:rPr>
          <w:color w:val="000000"/>
        </w:rPr>
        <w:t xml:space="preserve">voor de controle- of beoordelingsopdracht betreffende financiële overzichten van andere entiteiten, die zodra zij door de wet zijn toevertrouwd aan een bedrijfsrevisor (bijvoorbeeld in zijn hoedanigheid van commissaris) en die, op grond van de criteria vastgelegd door het bedrijfsrevisorenkantoor teneinde de </w:t>
      </w:r>
      <w:r>
        <w:rPr>
          <w:color w:val="000000"/>
        </w:rPr>
        <w:lastRenderedPageBreak/>
        <w:t>opdrachten te bepalen waarvoor een opdrachtgerichte kwaliteitsbeoordeling noodzakelijk is, zoals vereist door paragraaf 35 (b) van ISQC 1, het voorwerp van een dergelijke opdrachtgerichte kwalitetisbeoordeling (paragraaf 35 (c) van ISQC 1) dienen uit te maken, krachtens artikel 24 van de wet van 7 december 2016 tot 3 miljoen EUR;</w:t>
      </w:r>
    </w:p>
    <w:p w:rsidR="000337D3" w:rsidRPr="00991668" w:rsidRDefault="000337D3" w:rsidP="000337D3">
      <w:pPr>
        <w:numPr>
          <w:ilvl w:val="0"/>
          <w:numId w:val="2"/>
        </w:numPr>
        <w:overflowPunct w:val="0"/>
        <w:autoSpaceDE w:val="0"/>
        <w:autoSpaceDN w:val="0"/>
        <w:adjustRightInd w:val="0"/>
        <w:spacing w:before="220" w:after="0" w:line="240" w:lineRule="auto"/>
        <w:contextualSpacing/>
        <w:jc w:val="both"/>
        <w:textAlignment w:val="baseline"/>
        <w:rPr>
          <w:rFonts w:eastAsia="Times New Roman"/>
          <w:noProof/>
          <w:color w:val="000000"/>
        </w:rPr>
      </w:pPr>
      <w:r>
        <w:rPr>
          <w:color w:val="000000"/>
        </w:rPr>
        <w:t xml:space="preserve">voor alle andere opdrachten die op zuiver contractuele basis toevertrouwd worden aan een bedrijfsrevisor, hetzij buiten enige wettelijke verplichting, tot </w:t>
      </w:r>
      <w:r w:rsidRPr="00A64AB6">
        <w:rPr>
          <w:color w:val="000000"/>
          <w:highlight w:val="yellow"/>
        </w:rPr>
        <w:t>[…</w:t>
      </w:r>
      <w:r>
        <w:rPr>
          <w:color w:val="000000"/>
        </w:rPr>
        <w:t xml:space="preserve">] EUR. </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[Bij een geschil dat niet in der minne geregeld kan worden, in verband met de geldigheid, interpretatie of uitvoering van deze overeenkomst behalve geschillen betreffende honoraria, zullen wij eerst via bemiddeling tot een vergelijk proberen te komen. Wij zullen een bemiddelaar aanwijzen onder de door de Federale Bemiddelingscommissie erkende bemiddelaars.</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De bemiddeling start uiterlijk </w:t>
      </w:r>
      <w:r>
        <w:rPr>
          <w:color w:val="000000"/>
          <w:highlight w:val="yellow"/>
        </w:rPr>
        <w:t>15</w:t>
      </w:r>
      <w:r>
        <w:rPr>
          <w:color w:val="000000"/>
        </w:rPr>
        <w:t xml:space="preserve"> dagen na de vraag tot bemiddeling ingediend door ons of u en mag niet langer dan </w:t>
      </w:r>
      <w:r>
        <w:rPr>
          <w:color w:val="000000"/>
          <w:highlight w:val="yellow"/>
        </w:rPr>
        <w:t>15</w:t>
      </w:r>
      <w:r>
        <w:rPr>
          <w:color w:val="000000"/>
        </w:rPr>
        <w:t xml:space="preserve"> dagen duren, tenzij uitdrukkelijk akkoord tussen ons.</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Wanneer de bemiddeling mislukt, zullen de partijen het geschil aan arbitrage onderwerpen overeenkomstig </w:t>
      </w:r>
      <w:r>
        <w:rPr>
          <w:color w:val="000000"/>
          <w:highlight w:val="yellow"/>
        </w:rPr>
        <w:t>………………</w:t>
      </w:r>
      <w:r>
        <w:rPr>
          <w:color w:val="000000"/>
        </w:rPr>
        <w:t>.]</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U onderkent en aanvaardt dat wij, overeenkomstig de plichtenleer eigen aan ons beroep, op ieder ogenblik contact zullen kunnen opnemen met onze confrater die momenteel dezelfde opdrachten uitoefent. </w:t>
      </w: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Wij houden eraan u van harte te danken ons kantoor te hebben geraadpleegd voor deze opdracht en verzoeken u bijgaand exemplaar van deze brief ontertekend te willen terugzenden met de vermelding "voor akkoord", teneinde hiervan ontvangst te berichten en uw akkoord te betuigen met de termijnen en voorwaarden van onze opdrachtgerichte kwaliteitsbeoordeling, met inbegrip van onze respectievelijke aansprakelijkheden.</w:t>
      </w:r>
    </w:p>
    <w:p w:rsidR="000337D3" w:rsidRPr="00991668" w:rsidRDefault="000337D3" w:rsidP="000337D3">
      <w:pPr>
        <w:spacing w:after="0" w:line="240" w:lineRule="auto"/>
        <w:jc w:val="both"/>
        <w:rPr>
          <w:rFonts w:eastAsia="Times New Roman"/>
        </w:rPr>
      </w:pP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Met confraternele groeten,</w:t>
      </w:r>
    </w:p>
    <w:p w:rsidR="000337D3" w:rsidRPr="00991668" w:rsidRDefault="000337D3" w:rsidP="000337D3">
      <w:pPr>
        <w:spacing w:after="0" w:line="240" w:lineRule="auto"/>
        <w:jc w:val="both"/>
        <w:rPr>
          <w:rFonts w:eastAsia="Times New Roman"/>
        </w:rPr>
      </w:pPr>
    </w:p>
    <w:p w:rsidR="000337D3" w:rsidRPr="00991668" w:rsidRDefault="000337D3" w:rsidP="000337D3">
      <w:pPr>
        <w:spacing w:after="0" w:line="240" w:lineRule="auto"/>
        <w:jc w:val="both"/>
        <w:rPr>
          <w:rFonts w:eastAsia="Times New Roman"/>
        </w:rPr>
      </w:pPr>
    </w:p>
    <w:p w:rsidR="000337D3" w:rsidRPr="00991668" w:rsidRDefault="000337D3" w:rsidP="000337D3">
      <w:pPr>
        <w:spacing w:after="0" w:line="240" w:lineRule="auto"/>
        <w:jc w:val="both"/>
        <w:rPr>
          <w:rFonts w:eastAsia="Times New Roman"/>
        </w:rPr>
      </w:pP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highlight w:val="yellow"/>
        </w:rPr>
      </w:pPr>
      <w:r>
        <w:rPr>
          <w:bCs/>
          <w:color w:val="000000"/>
        </w:rPr>
        <w:t>X [</w:t>
      </w:r>
      <w:r>
        <w:rPr>
          <w:color w:val="000000"/>
          <w:highlight w:val="yellow"/>
        </w:rPr>
        <w:t>bedrijfsrevisor</w:t>
      </w:r>
      <w:r>
        <w:rPr>
          <w:color w:val="000000"/>
        </w:rPr>
        <w:t>]</w:t>
      </w:r>
    </w:p>
    <w:p w:rsidR="000337D3" w:rsidRPr="00991668" w:rsidRDefault="000337D3" w:rsidP="000337D3">
      <w:pPr>
        <w:overflowPunct w:val="0"/>
        <w:autoSpaceDE w:val="0"/>
        <w:autoSpaceDN w:val="0"/>
        <w:adjustRightInd w:val="0"/>
        <w:spacing w:after="0" w:line="240" w:lineRule="auto"/>
        <w:jc w:val="both"/>
        <w:textAlignment w:val="baseline"/>
        <w:rPr>
          <w:rFonts w:eastAsia="Times New Roman"/>
          <w:noProof/>
          <w:color w:val="000000"/>
        </w:rPr>
      </w:pPr>
      <w:r>
        <w:rPr>
          <w:color w:val="000000"/>
          <w:highlight w:val="yellow"/>
        </w:rPr>
        <w:t>Vertegenwoordiger van het bedrijfsrevisorenkantoor</w:t>
      </w:r>
    </w:p>
    <w:p w:rsidR="000337D3" w:rsidRPr="00991668" w:rsidRDefault="000337D3" w:rsidP="000337D3">
      <w:pPr>
        <w:spacing w:after="0" w:line="240" w:lineRule="auto"/>
        <w:rPr>
          <w:rFonts w:eastAsia="Times New Roman"/>
          <w:b/>
          <w:bCs/>
        </w:rPr>
      </w:pPr>
    </w:p>
    <w:p w:rsidR="000337D3" w:rsidRPr="00991668" w:rsidRDefault="000337D3" w:rsidP="000337D3">
      <w:pPr>
        <w:spacing w:after="0" w:line="240" w:lineRule="auto"/>
        <w:rPr>
          <w:rFonts w:eastAsia="Times New Roman"/>
        </w:rPr>
      </w:pPr>
    </w:p>
    <w:p w:rsidR="000337D3" w:rsidRPr="00991668" w:rsidRDefault="000337D3" w:rsidP="000337D3">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X [</w:t>
      </w:r>
      <w:r>
        <w:rPr>
          <w:color w:val="000000"/>
          <w:highlight w:val="yellow"/>
        </w:rPr>
        <w:t>bedrijfsrevisor</w:t>
      </w:r>
      <w:r>
        <w:rPr>
          <w:bCs/>
          <w:color w:val="000000"/>
        </w:rPr>
        <w:t>]</w:t>
      </w:r>
    </w:p>
    <w:p w:rsidR="000337D3" w:rsidRPr="00991668" w:rsidRDefault="000337D3" w:rsidP="000337D3">
      <w:pPr>
        <w:spacing w:after="0" w:line="240" w:lineRule="auto"/>
        <w:rPr>
          <w:rFonts w:eastAsia="Times New Roman"/>
        </w:rPr>
      </w:pPr>
      <w:r>
        <w:t>Voor akkoord:</w:t>
      </w:r>
    </w:p>
    <w:p w:rsidR="000337D3" w:rsidRPr="00991668" w:rsidRDefault="000337D3" w:rsidP="000337D3">
      <w:pPr>
        <w:spacing w:after="0" w:line="240" w:lineRule="auto"/>
        <w:rPr>
          <w:rFonts w:eastAsia="Times New Roman"/>
        </w:rPr>
      </w:pPr>
      <w:r>
        <w:t>(handtekening)</w:t>
      </w:r>
    </w:p>
    <w:p w:rsidR="000337D3" w:rsidRPr="00991668" w:rsidRDefault="000337D3" w:rsidP="000337D3">
      <w:pPr>
        <w:spacing w:after="0" w:line="240" w:lineRule="auto"/>
        <w:rPr>
          <w:rFonts w:eastAsia="Times New Roman"/>
        </w:rPr>
      </w:pPr>
      <w:r>
        <w:t>Naam:</w:t>
      </w:r>
    </w:p>
    <w:p w:rsidR="000337D3" w:rsidRPr="007038E4" w:rsidRDefault="000337D3" w:rsidP="000337D3">
      <w:pPr>
        <w:spacing w:after="0" w:line="240" w:lineRule="auto"/>
        <w:rPr>
          <w:rFonts w:eastAsia="Times New Roman"/>
        </w:rPr>
      </w:pPr>
      <w:r>
        <w:t xml:space="preserve">Datum: </w:t>
      </w:r>
    </w:p>
    <w:p w:rsidR="000337D3" w:rsidRPr="007038E4" w:rsidRDefault="000337D3" w:rsidP="000337D3">
      <w:pPr>
        <w:spacing w:before="120" w:after="120" w:line="312" w:lineRule="auto"/>
        <w:jc w:val="both"/>
        <w:rPr>
          <w:rFonts w:eastAsia="Times New Roman"/>
          <w:i/>
          <w:iCs/>
          <w:lang w:eastAsia="fr-BE"/>
        </w:rPr>
      </w:pPr>
    </w:p>
    <w:p w:rsidR="000337D3" w:rsidRPr="007038E4" w:rsidRDefault="000337D3" w:rsidP="000337D3">
      <w:pPr>
        <w:spacing w:before="120" w:after="120" w:line="312" w:lineRule="auto"/>
        <w:jc w:val="both"/>
        <w:rPr>
          <w:rFonts w:eastAsia="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rsidR="00CA4DEE" w:rsidRDefault="00CA4DEE"/>
    <w:sectPr w:rsidR="00CA4DEE" w:rsidSect="00590FE9">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DB8" w:rsidRDefault="00430DB8" w:rsidP="000337D3">
      <w:pPr>
        <w:spacing w:after="0" w:line="240" w:lineRule="auto"/>
      </w:pPr>
      <w:r>
        <w:separator/>
      </w:r>
    </w:p>
  </w:endnote>
  <w:endnote w:type="continuationSeparator" w:id="0">
    <w:p w:rsidR="00430DB8" w:rsidRDefault="00430DB8" w:rsidP="0003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46414"/>
      <w:docPartObj>
        <w:docPartGallery w:val="Page Numbers (Bottom of Page)"/>
        <w:docPartUnique/>
      </w:docPartObj>
    </w:sdtPr>
    <w:sdtEndPr>
      <w:rPr>
        <w:noProof/>
      </w:rPr>
    </w:sdtEndPr>
    <w:sdtContent>
      <w:p w:rsidR="00085319" w:rsidRDefault="00085319" w:rsidP="00085319">
        <w:pPr>
          <w:pStyle w:val="Footer"/>
          <w:ind w:right="360"/>
        </w:pPr>
        <w:r>
          <w:t xml:space="preserve">V </w:t>
        </w:r>
        <w:r w:rsidR="009D2FE4">
          <w:t>4</w:t>
        </w:r>
        <w:r>
          <w:t xml:space="preserve">.0 van </w:t>
        </w:r>
        <w:r w:rsidR="009D2FE4">
          <w:t>20</w:t>
        </w:r>
        <w:r>
          <w:t>.11.201</w:t>
        </w:r>
        <w:r w:rsidR="009D2FE4">
          <w:t>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sidR="0021098F">
          <w:rPr>
            <w:b/>
            <w:bCs/>
            <w:noProof/>
          </w:rPr>
          <w:t>3</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sidR="0021098F">
          <w:rPr>
            <w:b/>
            <w:bCs/>
            <w:noProof/>
          </w:rPr>
          <w:t>3</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DB8" w:rsidRDefault="00430DB8" w:rsidP="000337D3">
      <w:pPr>
        <w:spacing w:after="0" w:line="240" w:lineRule="auto"/>
      </w:pPr>
      <w:r>
        <w:separator/>
      </w:r>
    </w:p>
  </w:footnote>
  <w:footnote w:type="continuationSeparator" w:id="0">
    <w:p w:rsidR="00430DB8" w:rsidRDefault="00430DB8" w:rsidP="000337D3">
      <w:pPr>
        <w:spacing w:after="0" w:line="240" w:lineRule="auto"/>
      </w:pPr>
      <w:r>
        <w:continuationSeparator/>
      </w:r>
    </w:p>
  </w:footnote>
  <w:footnote w:id="1">
    <w:p w:rsidR="000337D3" w:rsidRPr="00531D24" w:rsidRDefault="000337D3" w:rsidP="000337D3">
      <w:pPr>
        <w:pStyle w:val="FootnoteText"/>
      </w:pPr>
      <w:r>
        <w:rPr>
          <w:rStyle w:val="FootnoteReference"/>
        </w:rPr>
        <w:footnoteRef/>
      </w:r>
      <w:r>
        <w:t xml:space="preserve"> De delen in het geel dienen te worden aangevuld of aangepast. </w:t>
      </w:r>
    </w:p>
  </w:footnote>
  <w:footnote w:id="2">
    <w:p w:rsidR="000337D3" w:rsidRPr="00760AEB" w:rsidRDefault="000337D3" w:rsidP="000337D3">
      <w:pPr>
        <w:pStyle w:val="FootnoteText"/>
      </w:pPr>
      <w:r>
        <w:rPr>
          <w:rStyle w:val="FootnoteReference"/>
        </w:rPr>
        <w:footnoteRef/>
      </w:r>
      <w:r>
        <w:t xml:space="preserve"> Schrappen wat niet past.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838" w:rsidRDefault="00F44838" w:rsidP="00F44838">
    <w:pPr>
      <w:pStyle w:val="Header"/>
      <w:jc w:val="right"/>
    </w:pPr>
    <w:r>
      <w:t>Uw logo hier invoegen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9592F"/>
    <w:multiLevelType w:val="hybridMultilevel"/>
    <w:tmpl w:val="C77461A6"/>
    <w:lvl w:ilvl="0" w:tplc="3B964F62">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6991370"/>
    <w:multiLevelType w:val="multilevel"/>
    <w:tmpl w:val="54E66E1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D3"/>
    <w:rsid w:val="000337D3"/>
    <w:rsid w:val="00056AF1"/>
    <w:rsid w:val="00073884"/>
    <w:rsid w:val="00085319"/>
    <w:rsid w:val="000A0B38"/>
    <w:rsid w:val="000D1BE9"/>
    <w:rsid w:val="00115D7F"/>
    <w:rsid w:val="00136D43"/>
    <w:rsid w:val="0014238F"/>
    <w:rsid w:val="00187478"/>
    <w:rsid w:val="00193621"/>
    <w:rsid w:val="001A2732"/>
    <w:rsid w:val="001D64E3"/>
    <w:rsid w:val="0021098F"/>
    <w:rsid w:val="00217153"/>
    <w:rsid w:val="00225ADA"/>
    <w:rsid w:val="00261F28"/>
    <w:rsid w:val="002807F8"/>
    <w:rsid w:val="002943FB"/>
    <w:rsid w:val="00295944"/>
    <w:rsid w:val="002E4685"/>
    <w:rsid w:val="00311D32"/>
    <w:rsid w:val="003130FE"/>
    <w:rsid w:val="003418DD"/>
    <w:rsid w:val="003504AC"/>
    <w:rsid w:val="00355452"/>
    <w:rsid w:val="00381B15"/>
    <w:rsid w:val="003F3847"/>
    <w:rsid w:val="003F5F8F"/>
    <w:rsid w:val="003F718F"/>
    <w:rsid w:val="0042689E"/>
    <w:rsid w:val="004276F4"/>
    <w:rsid w:val="00430DB8"/>
    <w:rsid w:val="00465E2C"/>
    <w:rsid w:val="0047768D"/>
    <w:rsid w:val="004B2ABC"/>
    <w:rsid w:val="004C644B"/>
    <w:rsid w:val="005274B4"/>
    <w:rsid w:val="00566C10"/>
    <w:rsid w:val="00590FE9"/>
    <w:rsid w:val="005B7803"/>
    <w:rsid w:val="005E5255"/>
    <w:rsid w:val="00637A55"/>
    <w:rsid w:val="00642344"/>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15A96"/>
    <w:rsid w:val="00962E50"/>
    <w:rsid w:val="00966E0A"/>
    <w:rsid w:val="009A0F66"/>
    <w:rsid w:val="009B5280"/>
    <w:rsid w:val="009D2FE4"/>
    <w:rsid w:val="00A06D0A"/>
    <w:rsid w:val="00A1140F"/>
    <w:rsid w:val="00A34152"/>
    <w:rsid w:val="00A87190"/>
    <w:rsid w:val="00A92BFC"/>
    <w:rsid w:val="00AE147F"/>
    <w:rsid w:val="00B06211"/>
    <w:rsid w:val="00B15D59"/>
    <w:rsid w:val="00B53C3C"/>
    <w:rsid w:val="00BA1BE3"/>
    <w:rsid w:val="00BE3183"/>
    <w:rsid w:val="00BE3EA3"/>
    <w:rsid w:val="00C060EE"/>
    <w:rsid w:val="00C4217F"/>
    <w:rsid w:val="00CA4DEE"/>
    <w:rsid w:val="00D366E6"/>
    <w:rsid w:val="00D71C18"/>
    <w:rsid w:val="00D76531"/>
    <w:rsid w:val="00D93879"/>
    <w:rsid w:val="00DA4FA7"/>
    <w:rsid w:val="00DD0A48"/>
    <w:rsid w:val="00DD61F8"/>
    <w:rsid w:val="00EA4A79"/>
    <w:rsid w:val="00EB18B1"/>
    <w:rsid w:val="00F44838"/>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07E39-3D74-4F93-8734-E4CEAEC2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D3"/>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0337D3"/>
    <w:pPr>
      <w:pageBreakBefore/>
      <w:spacing w:after="120"/>
      <w:outlineLvl w:val="1"/>
    </w:pPr>
    <w:rPr>
      <w:b/>
      <w:sz w:val="44"/>
      <w:szCs w:val="44"/>
    </w:rPr>
  </w:style>
  <w:style w:type="paragraph" w:styleId="Heading4">
    <w:name w:val="heading 4"/>
    <w:basedOn w:val="Normal"/>
    <w:next w:val="Normal"/>
    <w:link w:val="Heading4Char"/>
    <w:unhideWhenUsed/>
    <w:qFormat/>
    <w:rsid w:val="000337D3"/>
    <w:pPr>
      <w:keepNext/>
      <w:spacing w:before="240" w:after="120"/>
      <w:outlineLvl w:val="3"/>
    </w:pPr>
    <w:rPr>
      <w:rFonts w:eastAsia="Times New Roman"/>
      <w:bCs/>
      <w:color w:val="365F91"/>
      <w:sz w:val="28"/>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37D3"/>
    <w:rPr>
      <w:rFonts w:ascii="Arial" w:hAnsi="Arial" w:cs="Arial"/>
      <w:b/>
      <w:sz w:val="44"/>
      <w:szCs w:val="44"/>
      <w:lang w:val="nl-BE"/>
    </w:rPr>
  </w:style>
  <w:style w:type="character" w:customStyle="1" w:styleId="Heading4Char">
    <w:name w:val="Heading 4 Char"/>
    <w:basedOn w:val="DefaultParagraphFont"/>
    <w:link w:val="Heading4"/>
    <w:rsid w:val="000337D3"/>
    <w:rPr>
      <w:rFonts w:ascii="Arial" w:eastAsia="Times New Roman" w:hAnsi="Arial" w:cs="Arial"/>
      <w:bCs/>
      <w:color w:val="365F91"/>
      <w:sz w:val="28"/>
      <w:szCs w:val="24"/>
      <w:lang w:val="nl-BE" w:eastAsia="fr-BE"/>
    </w:rPr>
  </w:style>
  <w:style w:type="paragraph" w:styleId="FootnoteText">
    <w:name w:val="footnote text"/>
    <w:basedOn w:val="Normal"/>
    <w:link w:val="FootnoteTextChar"/>
    <w:semiHidden/>
    <w:rsid w:val="000337D3"/>
    <w:rPr>
      <w:rFonts w:asciiTheme="minorHAnsi" w:hAnsiTheme="minorHAnsi" w:cstheme="minorBidi"/>
      <w:sz w:val="18"/>
      <w:szCs w:val="22"/>
    </w:rPr>
  </w:style>
  <w:style w:type="character" w:customStyle="1" w:styleId="FootnoteTextChar">
    <w:name w:val="Footnote Text Char"/>
    <w:basedOn w:val="DefaultParagraphFont"/>
    <w:link w:val="FootnoteText"/>
    <w:semiHidden/>
    <w:rsid w:val="000337D3"/>
    <w:rPr>
      <w:sz w:val="18"/>
      <w:lang w:val="nl-BE"/>
    </w:rPr>
  </w:style>
  <w:style w:type="character" w:styleId="FootnoteReference">
    <w:name w:val="footnote reference"/>
    <w:semiHidden/>
    <w:rsid w:val="000337D3"/>
    <w:rPr>
      <w:vertAlign w:val="superscript"/>
    </w:rPr>
  </w:style>
  <w:style w:type="paragraph" w:styleId="NoSpacing">
    <w:name w:val="No Spacing"/>
    <w:uiPriority w:val="1"/>
    <w:qFormat/>
    <w:rsid w:val="000337D3"/>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0853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5319"/>
    <w:rPr>
      <w:rFonts w:ascii="Arial" w:hAnsi="Arial" w:cs="Arial"/>
      <w:sz w:val="20"/>
      <w:szCs w:val="20"/>
      <w:lang w:val="nl-BE"/>
    </w:rPr>
  </w:style>
  <w:style w:type="paragraph" w:styleId="Footer">
    <w:name w:val="footer"/>
    <w:basedOn w:val="Normal"/>
    <w:link w:val="FooterChar"/>
    <w:uiPriority w:val="99"/>
    <w:unhideWhenUsed/>
    <w:rsid w:val="000853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319"/>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B4442-3B21-4FFC-B118-7D8B03F63ACE}"/>
</file>

<file path=customXml/itemProps2.xml><?xml version="1.0" encoding="utf-8"?>
<ds:datastoreItem xmlns:ds="http://schemas.openxmlformats.org/officeDocument/2006/customXml" ds:itemID="{881D535E-16F6-4B32-ACAA-010042353EB6}"/>
</file>

<file path=customXml/itemProps3.xml><?xml version="1.0" encoding="utf-8"?>
<ds:datastoreItem xmlns:ds="http://schemas.openxmlformats.org/officeDocument/2006/customXml" ds:itemID="{0A6F274A-E7F5-4875-BFC9-CC36554DEB82}"/>
</file>

<file path=customXml/itemProps4.xml><?xml version="1.0" encoding="utf-8"?>
<ds:datastoreItem xmlns:ds="http://schemas.openxmlformats.org/officeDocument/2006/customXml" ds:itemID="{4465541E-90CB-43EF-B159-A8275E3C8145}"/>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6958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4</cp:revision>
  <dcterms:created xsi:type="dcterms:W3CDTF">2018-11-14T09:51:00Z</dcterms:created>
  <dcterms:modified xsi:type="dcterms:W3CDTF">2019-11-21T16:53:00Z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