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061" w:rsidRDefault="004C5061" w:rsidP="004C5061">
      <w:pPr>
        <w:pStyle w:val="Heading2"/>
        <w:jc w:val="both"/>
      </w:pPr>
      <w:bookmarkStart w:id="0" w:name="_Toc528597667"/>
      <w:bookmarkStart w:id="1" w:name="_Toc529272308"/>
      <w:bookmarkStart w:id="2" w:name="_Toc529272826"/>
      <w:bookmarkStart w:id="3" w:name="_Toc529353559"/>
      <w:bookmarkStart w:id="4" w:name="_Toc529806505"/>
      <w:bookmarkStart w:id="5" w:name="_Toc529806620"/>
      <w:r>
        <w:t xml:space="preserve">Bijkomende Checklist Onafhankelijkheid </w:t>
      </w:r>
      <w:bookmarkStart w:id="6" w:name="_Hlk525550208"/>
      <w:r>
        <w:t xml:space="preserve">voor </w:t>
      </w:r>
      <w:proofErr w:type="spellStart"/>
      <w:r>
        <w:t>OOB</w:t>
      </w:r>
      <w:r w:rsidR="00041C01">
        <w:t>’</w:t>
      </w:r>
      <w:r>
        <w:t>s</w:t>
      </w:r>
      <w:bookmarkEnd w:id="0"/>
      <w:bookmarkEnd w:id="1"/>
      <w:bookmarkEnd w:id="2"/>
      <w:bookmarkEnd w:id="3"/>
      <w:bookmarkEnd w:id="4"/>
      <w:bookmarkEnd w:id="5"/>
      <w:proofErr w:type="spellEnd"/>
      <w:r>
        <w:t xml:space="preserve"> </w:t>
      </w:r>
      <w:r w:rsidR="00041C01">
        <w:t xml:space="preserve">en </w:t>
      </w:r>
      <w:r w:rsidR="009E6216">
        <w:t xml:space="preserve">dochterondernemingen van </w:t>
      </w:r>
      <w:proofErr w:type="spellStart"/>
      <w:r w:rsidR="009E6216">
        <w:t>OOB’s</w:t>
      </w:r>
      <w:proofErr w:type="spellEnd"/>
      <w:r w:rsidR="009E6216">
        <w:rPr>
          <w:rStyle w:val="FootnoteReference"/>
        </w:rPr>
        <w:footnoteReference w:id="1"/>
      </w:r>
    </w:p>
    <w:p w:rsidR="004C5061" w:rsidRDefault="004C5061" w:rsidP="004C5061">
      <w:pPr>
        <w:spacing w:after="120" w:line="240" w:lineRule="auto"/>
        <w:jc w:val="both"/>
        <w:rPr>
          <w:rFonts w:eastAsia="Times New Roman" w:cs="Times New Roman"/>
          <w:i/>
        </w:rPr>
      </w:pPr>
      <w:r>
        <w:rPr>
          <w:b/>
          <w:i/>
        </w:rPr>
        <w:t xml:space="preserve">Deze checklist is complementair aan de checklist Onafhankelijkheid voor elke entiteit. </w:t>
      </w:r>
    </w:p>
    <w:bookmarkEnd w:id="6"/>
    <w:p w:rsidR="004C5061" w:rsidRPr="00B565F2" w:rsidRDefault="004C5061" w:rsidP="004C5061">
      <w:pPr>
        <w:spacing w:after="120"/>
        <w:jc w:val="both"/>
        <w:rPr>
          <w:rFonts w:eastAsia="Times New Roman" w:cs="Times New Roman"/>
          <w:b/>
          <w:i/>
          <w:lang w:eastAsia="fr-BE"/>
        </w:rPr>
      </w:pPr>
    </w:p>
    <w:p w:rsidR="004C5061" w:rsidRPr="007038E4" w:rsidRDefault="004C5061" w:rsidP="004C5061">
      <w:pPr>
        <w:spacing w:after="120"/>
        <w:jc w:val="both"/>
        <w:rPr>
          <w:rFonts w:eastAsia="Times New Roman" w:cs="Times New Roman"/>
        </w:rPr>
      </w:pPr>
      <w:r>
        <w:rPr>
          <w:i/>
        </w:rPr>
        <w:t xml:space="preserve">Bij identificatie van bedreigingen voor de onafhankelijkheid moeten de bestaande of onbestaande veiligheidsmaatregelen in de documentatie worden vastgelegd (art. 12, § 5 van de wet van 7 december 2016). </w:t>
      </w: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00"/>
        <w:gridCol w:w="2880"/>
        <w:gridCol w:w="2160"/>
        <w:gridCol w:w="2700"/>
      </w:tblGrid>
      <w:tr w:rsidR="004C5061" w:rsidRPr="007038E4" w:rsidTr="00DF0364">
        <w:tc>
          <w:tcPr>
            <w:tcW w:w="1800" w:type="dxa"/>
          </w:tcPr>
          <w:p w:rsidR="004C5061" w:rsidRPr="007038E4" w:rsidRDefault="004C5061" w:rsidP="00DF0364">
            <w:pPr>
              <w:spacing w:before="40" w:after="0" w:line="240" w:lineRule="auto"/>
              <w:jc w:val="both"/>
              <w:rPr>
                <w:rFonts w:eastAsia="Times New Roman" w:cs="Times New Roman"/>
              </w:rPr>
            </w:pPr>
            <w:r>
              <w:t>Cliëntnaam</w:t>
            </w:r>
          </w:p>
        </w:tc>
        <w:tc>
          <w:tcPr>
            <w:tcW w:w="2880" w:type="dxa"/>
          </w:tcPr>
          <w:p w:rsidR="004C5061" w:rsidRDefault="004C5061" w:rsidP="00DF0364">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rsidR="004C5061" w:rsidRPr="007038E4" w:rsidRDefault="004C5061" w:rsidP="00DF0364">
            <w:pPr>
              <w:spacing w:before="40" w:after="0" w:line="240" w:lineRule="auto"/>
              <w:jc w:val="both"/>
              <w:rPr>
                <w:rFonts w:eastAsia="Times New Roman" w:cs="Times New Roman"/>
              </w:rPr>
            </w:pPr>
            <w:r>
              <w:t>Dossiernr.</w:t>
            </w:r>
          </w:p>
        </w:tc>
        <w:tc>
          <w:tcPr>
            <w:tcW w:w="2700" w:type="dxa"/>
          </w:tcPr>
          <w:p w:rsidR="004C5061" w:rsidRDefault="004C5061" w:rsidP="00DF0364">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4C5061" w:rsidRPr="007038E4" w:rsidTr="00DF0364">
        <w:tc>
          <w:tcPr>
            <w:tcW w:w="1800" w:type="dxa"/>
          </w:tcPr>
          <w:p w:rsidR="004C5061" w:rsidRPr="007038E4" w:rsidRDefault="004C5061" w:rsidP="00DF0364">
            <w:pPr>
              <w:spacing w:before="40" w:after="0" w:line="240" w:lineRule="auto"/>
              <w:jc w:val="both"/>
              <w:rPr>
                <w:rFonts w:eastAsia="Times New Roman" w:cs="Times New Roman"/>
              </w:rPr>
            </w:pPr>
            <w:r>
              <w:t>Cliëntnr.</w:t>
            </w:r>
          </w:p>
        </w:tc>
        <w:tc>
          <w:tcPr>
            <w:tcW w:w="2880" w:type="dxa"/>
          </w:tcPr>
          <w:p w:rsidR="004C5061" w:rsidRDefault="004C5061" w:rsidP="00DF0364">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rsidR="004C5061" w:rsidRPr="00991668" w:rsidRDefault="004C5061" w:rsidP="00DF0364">
            <w:pPr>
              <w:spacing w:before="40" w:after="0" w:line="240" w:lineRule="auto"/>
              <w:jc w:val="both"/>
              <w:rPr>
                <w:rFonts w:eastAsia="Times New Roman" w:cs="Times New Roman"/>
                <w:b/>
              </w:rPr>
            </w:pPr>
            <w:r>
              <w:t>Boekjaar</w:t>
            </w:r>
          </w:p>
        </w:tc>
        <w:tc>
          <w:tcPr>
            <w:tcW w:w="2700" w:type="dxa"/>
          </w:tcPr>
          <w:p w:rsidR="004C5061" w:rsidRDefault="004C5061" w:rsidP="00DF0364">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4C5061" w:rsidRPr="007038E4" w:rsidTr="00DF0364">
        <w:tc>
          <w:tcPr>
            <w:tcW w:w="1800" w:type="dxa"/>
          </w:tcPr>
          <w:p w:rsidR="004C5061" w:rsidRPr="00991668" w:rsidRDefault="004C5061" w:rsidP="00DF0364">
            <w:pPr>
              <w:spacing w:before="40" w:after="0" w:line="240" w:lineRule="auto"/>
              <w:jc w:val="both"/>
              <w:rPr>
                <w:rFonts w:eastAsia="Times New Roman" w:cs="Times New Roman"/>
                <w:b/>
              </w:rPr>
            </w:pPr>
            <w:r>
              <w:t>Medewerker</w:t>
            </w:r>
          </w:p>
        </w:tc>
        <w:tc>
          <w:tcPr>
            <w:tcW w:w="2880" w:type="dxa"/>
          </w:tcPr>
          <w:p w:rsidR="004C5061" w:rsidRDefault="004C5061" w:rsidP="00DF0364">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rsidR="004C5061" w:rsidRPr="00991668" w:rsidRDefault="004C5061" w:rsidP="00DF0364">
            <w:pPr>
              <w:spacing w:before="40" w:after="0" w:line="240" w:lineRule="auto"/>
              <w:jc w:val="both"/>
              <w:rPr>
                <w:rFonts w:eastAsia="Times New Roman" w:cs="Times New Roman"/>
                <w:b/>
              </w:rPr>
            </w:pPr>
            <w:r>
              <w:t>Datum</w:t>
            </w:r>
          </w:p>
        </w:tc>
        <w:tc>
          <w:tcPr>
            <w:tcW w:w="2700" w:type="dxa"/>
          </w:tcPr>
          <w:p w:rsidR="004C5061" w:rsidRDefault="004C5061" w:rsidP="00DF0364">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4C5061" w:rsidRPr="007038E4" w:rsidTr="00DF0364">
        <w:tc>
          <w:tcPr>
            <w:tcW w:w="1800" w:type="dxa"/>
          </w:tcPr>
          <w:p w:rsidR="004C5061" w:rsidRPr="00991668" w:rsidRDefault="004C5061" w:rsidP="00DF0364">
            <w:pPr>
              <w:spacing w:before="40" w:after="0" w:line="240" w:lineRule="auto"/>
              <w:jc w:val="both"/>
              <w:rPr>
                <w:rFonts w:eastAsia="Times New Roman" w:cs="Times New Roman"/>
                <w:b/>
              </w:rPr>
            </w:pPr>
            <w:r>
              <w:t>Vennoot</w:t>
            </w:r>
          </w:p>
        </w:tc>
        <w:tc>
          <w:tcPr>
            <w:tcW w:w="2880" w:type="dxa"/>
          </w:tcPr>
          <w:p w:rsidR="004C5061" w:rsidRDefault="004C5061" w:rsidP="00DF0364">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rsidR="004C5061" w:rsidRPr="007038E4" w:rsidRDefault="004C5061" w:rsidP="00DF0364">
            <w:pPr>
              <w:spacing w:before="40" w:after="0" w:line="240" w:lineRule="auto"/>
              <w:jc w:val="both"/>
              <w:rPr>
                <w:rFonts w:eastAsia="Times New Roman" w:cs="Times New Roman"/>
                <w:lang w:eastAsia="fr-BE"/>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700" w:type="dxa"/>
          </w:tcPr>
          <w:p w:rsidR="004C5061" w:rsidRPr="007038E4" w:rsidRDefault="004C5061" w:rsidP="00DF0364">
            <w:pPr>
              <w:spacing w:before="40" w:after="0" w:line="240" w:lineRule="auto"/>
              <w:jc w:val="both"/>
              <w:rPr>
                <w:rFonts w:eastAsia="Times New Roman" w:cs="Times New Roman"/>
                <w:lang w:eastAsia="fr-BE"/>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bl>
    <w:p w:rsidR="004C5061" w:rsidRPr="007038E4" w:rsidRDefault="004C5061" w:rsidP="004C5061">
      <w:pPr>
        <w:spacing w:after="120"/>
        <w:jc w:val="both"/>
        <w:rPr>
          <w:rFonts w:eastAsia="Times New Roman" w:cs="Times New Roman"/>
          <w:lang w:eastAsia="fr-BE"/>
        </w:rPr>
      </w:pPr>
    </w:p>
    <w:tbl>
      <w:tblPr>
        <w:tblW w:w="5232"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7032"/>
        <w:gridCol w:w="40"/>
        <w:gridCol w:w="839"/>
        <w:gridCol w:w="11"/>
        <w:gridCol w:w="851"/>
        <w:gridCol w:w="16"/>
        <w:gridCol w:w="976"/>
        <w:gridCol w:w="61"/>
      </w:tblGrid>
      <w:tr w:rsidR="004C5061" w:rsidRPr="007038E4" w:rsidTr="009E6216">
        <w:tc>
          <w:tcPr>
            <w:tcW w:w="7032" w:type="dxa"/>
            <w:shd w:val="clear" w:color="auto" w:fill="auto"/>
          </w:tcPr>
          <w:p w:rsidR="004C5061" w:rsidRPr="007038E4" w:rsidRDefault="004C5061" w:rsidP="00DF0364">
            <w:pPr>
              <w:spacing w:before="120" w:after="120" w:line="240" w:lineRule="auto"/>
              <w:jc w:val="center"/>
              <w:rPr>
                <w:rFonts w:eastAsia="Times New Roman" w:cs="Times New Roman"/>
                <w:b/>
                <w:sz w:val="18"/>
                <w:lang w:eastAsia="fr-BE"/>
              </w:rPr>
            </w:pPr>
          </w:p>
        </w:tc>
        <w:tc>
          <w:tcPr>
            <w:tcW w:w="879" w:type="dxa"/>
            <w:gridSpan w:val="2"/>
            <w:shd w:val="clear" w:color="auto" w:fill="auto"/>
          </w:tcPr>
          <w:p w:rsidR="004C5061" w:rsidRPr="007038E4" w:rsidRDefault="004C5061" w:rsidP="00DF0364">
            <w:pPr>
              <w:spacing w:before="120" w:after="120" w:line="240" w:lineRule="auto"/>
              <w:jc w:val="center"/>
              <w:rPr>
                <w:rFonts w:eastAsia="Times New Roman" w:cs="Times New Roman"/>
                <w:b/>
                <w:sz w:val="18"/>
              </w:rPr>
            </w:pPr>
            <w:r>
              <w:rPr>
                <w:b/>
                <w:sz w:val="18"/>
              </w:rPr>
              <w:t>Ja/Nee</w:t>
            </w:r>
          </w:p>
        </w:tc>
        <w:tc>
          <w:tcPr>
            <w:tcW w:w="878" w:type="dxa"/>
            <w:gridSpan w:val="3"/>
          </w:tcPr>
          <w:p w:rsidR="004C5061" w:rsidRPr="007038E4" w:rsidRDefault="004C5061" w:rsidP="00DF0364">
            <w:pPr>
              <w:spacing w:before="120" w:after="120" w:line="240" w:lineRule="auto"/>
              <w:jc w:val="center"/>
              <w:rPr>
                <w:rFonts w:eastAsia="Times New Roman"/>
                <w:b/>
                <w:sz w:val="18"/>
              </w:rPr>
            </w:pPr>
            <w:r>
              <w:rPr>
                <w:b/>
                <w:sz w:val="18"/>
              </w:rPr>
              <w:t>N.v.t.</w:t>
            </w:r>
          </w:p>
        </w:tc>
        <w:tc>
          <w:tcPr>
            <w:tcW w:w="1037" w:type="dxa"/>
            <w:gridSpan w:val="2"/>
            <w:shd w:val="clear" w:color="auto" w:fill="auto"/>
          </w:tcPr>
          <w:p w:rsidR="004C5061" w:rsidRPr="007038E4" w:rsidRDefault="004C5061" w:rsidP="00DF0364">
            <w:pPr>
              <w:spacing w:before="120" w:after="120" w:line="240" w:lineRule="auto"/>
              <w:jc w:val="center"/>
              <w:rPr>
                <w:rFonts w:eastAsia="Times New Roman" w:cs="Times New Roman"/>
                <w:b/>
                <w:sz w:val="18"/>
              </w:rPr>
            </w:pPr>
            <w:r>
              <w:rPr>
                <w:b/>
                <w:sz w:val="18"/>
              </w:rPr>
              <w:t>Opmerking of ref. werkdocument</w:t>
            </w:r>
          </w:p>
        </w:tc>
      </w:tr>
      <w:tr w:rsidR="004C5061" w:rsidRPr="007038E4" w:rsidTr="009E6216">
        <w:tc>
          <w:tcPr>
            <w:tcW w:w="9826" w:type="dxa"/>
            <w:gridSpan w:val="8"/>
          </w:tcPr>
          <w:p w:rsidR="004C5061" w:rsidRPr="00FB6066" w:rsidDel="00B80C68" w:rsidRDefault="004C5061" w:rsidP="00DF0364">
            <w:pPr>
              <w:spacing w:before="120" w:after="120" w:line="240" w:lineRule="auto"/>
              <w:ind w:left="142"/>
              <w:jc w:val="both"/>
              <w:rPr>
                <w:rFonts w:eastAsia="Times New Roman"/>
                <w:b/>
              </w:rPr>
            </w:pPr>
            <w:r>
              <w:rPr>
                <w:b/>
              </w:rPr>
              <w:t>Commissarismandaat</w:t>
            </w:r>
          </w:p>
        </w:tc>
      </w:tr>
      <w:tr w:rsidR="004C5061" w:rsidRPr="007038E4" w:rsidTr="009E6216">
        <w:tc>
          <w:tcPr>
            <w:tcW w:w="9826" w:type="dxa"/>
            <w:gridSpan w:val="8"/>
            <w:tcBorders>
              <w:bottom w:val="single" w:sz="2" w:space="0" w:color="000000"/>
            </w:tcBorders>
          </w:tcPr>
          <w:p w:rsidR="004C5061" w:rsidRPr="007038E4" w:rsidRDefault="009E6216" w:rsidP="00DF0364">
            <w:pPr>
              <w:spacing w:before="120" w:after="120" w:line="240" w:lineRule="auto"/>
              <w:ind w:left="142"/>
              <w:jc w:val="both"/>
              <w:rPr>
                <w:rFonts w:eastAsia="Times New Roman" w:cs="Times New Roman"/>
                <w:sz w:val="24"/>
              </w:rPr>
            </w:pPr>
            <w:r>
              <w:t xml:space="preserve">1. Verlenen van verboden niet-controlediensten voor </w:t>
            </w:r>
            <w:proofErr w:type="spellStart"/>
            <w:r>
              <w:t>OOB’s</w:t>
            </w:r>
            <w:proofErr w:type="spellEnd"/>
            <w:r>
              <w:t xml:space="preserve"> (art. 133/1, § 3-6 W. </w:t>
            </w:r>
            <w:proofErr w:type="spellStart"/>
            <w:r>
              <w:t>Venn</w:t>
            </w:r>
            <w:proofErr w:type="spellEnd"/>
            <w:r>
              <w:t>./art. 3:63, §3-6 WVV)</w:t>
            </w:r>
          </w:p>
        </w:tc>
      </w:tr>
      <w:tr w:rsidR="004C5061" w:rsidRPr="007038E4" w:rsidTr="009E6216">
        <w:trPr>
          <w:trHeight w:val="572"/>
        </w:trPr>
        <w:tc>
          <w:tcPr>
            <w:tcW w:w="7032" w:type="dxa"/>
            <w:tcBorders>
              <w:top w:val="single" w:sz="2" w:space="0" w:color="000000"/>
              <w:left w:val="single" w:sz="2" w:space="0" w:color="000000"/>
              <w:bottom w:val="nil"/>
              <w:right w:val="single" w:sz="2" w:space="0" w:color="auto"/>
            </w:tcBorders>
            <w:shd w:val="clear" w:color="auto" w:fill="auto"/>
          </w:tcPr>
          <w:p w:rsidR="004C5061" w:rsidRPr="00FB6066" w:rsidRDefault="004C5061" w:rsidP="00DF0364">
            <w:pPr>
              <w:spacing w:before="240" w:after="0" w:line="240" w:lineRule="auto"/>
              <w:ind w:left="130" w:right="193"/>
            </w:pPr>
            <w:r>
              <w:t>1.1. De bedrijfsrevisor moet er zich ook van vergewissen dat geen enkele onverenigbare dienst werd verstrekt aan de OOB gecontroleerde entiteit of aan haar moedervennootschap of aan de ondernemingen waarover zij de controle heeft binnen de Europese Unie, hetzij door hemzelf, hetzij door een lid van zijn netwerk.</w:t>
            </w:r>
          </w:p>
          <w:p w:rsidR="004C5061" w:rsidRPr="00991668" w:rsidRDefault="004C5061" w:rsidP="00DF0364">
            <w:pPr>
              <w:keepLines/>
              <w:spacing w:before="120" w:after="0" w:line="240" w:lineRule="auto"/>
              <w:ind w:left="130" w:right="193"/>
              <w:jc w:val="both"/>
              <w:rPr>
                <w:rFonts w:eastAsia="Times New Roman"/>
              </w:rPr>
            </w:pPr>
            <w:r>
              <w:t>Werden de volgende onverenigbare diensten verstrekt:</w:t>
            </w:r>
          </w:p>
          <w:p w:rsidR="004C5061" w:rsidRPr="00991668" w:rsidRDefault="004C5061" w:rsidP="004C5061">
            <w:pPr>
              <w:pStyle w:val="ListParagraph"/>
              <w:numPr>
                <w:ilvl w:val="0"/>
                <w:numId w:val="1"/>
              </w:numPr>
              <w:tabs>
                <w:tab w:val="clear" w:pos="567"/>
                <w:tab w:val="left" w:pos="697"/>
              </w:tabs>
              <w:spacing w:after="0" w:line="240" w:lineRule="auto"/>
              <w:ind w:right="193"/>
            </w:pPr>
            <w:r>
              <w:t>het verlenen van belastingdiensten met betrekking tot:</w:t>
            </w:r>
          </w:p>
          <w:p w:rsidR="004C5061" w:rsidRPr="00991668" w:rsidRDefault="004C5061" w:rsidP="004C5061">
            <w:pPr>
              <w:pStyle w:val="ListParagraph"/>
              <w:numPr>
                <w:ilvl w:val="0"/>
                <w:numId w:val="3"/>
              </w:numPr>
              <w:spacing w:after="0" w:line="240" w:lineRule="auto"/>
              <w:ind w:right="193"/>
            </w:pPr>
            <w:r>
              <w:t>het opstellen van belastingformulieren?</w:t>
            </w:r>
          </w:p>
          <w:p w:rsidR="004C5061" w:rsidRPr="00991668" w:rsidRDefault="004C5061" w:rsidP="004C5061">
            <w:pPr>
              <w:pStyle w:val="ListParagraph"/>
              <w:numPr>
                <w:ilvl w:val="0"/>
                <w:numId w:val="3"/>
              </w:numPr>
              <w:spacing w:after="0" w:line="240" w:lineRule="auto"/>
              <w:ind w:right="193"/>
            </w:pPr>
            <w:r>
              <w:t>loonbelasting?</w:t>
            </w:r>
          </w:p>
          <w:p w:rsidR="004C5061" w:rsidRPr="00991668" w:rsidRDefault="004C5061" w:rsidP="004C5061">
            <w:pPr>
              <w:pStyle w:val="ListParagraph"/>
              <w:numPr>
                <w:ilvl w:val="0"/>
                <w:numId w:val="3"/>
              </w:numPr>
              <w:spacing w:after="0" w:line="240" w:lineRule="auto"/>
              <w:ind w:right="193"/>
            </w:pPr>
            <w:r>
              <w:t>douanerechten?</w:t>
            </w:r>
          </w:p>
          <w:p w:rsidR="004C5061" w:rsidRPr="00991668" w:rsidRDefault="004C5061" w:rsidP="004C5061">
            <w:pPr>
              <w:pStyle w:val="ListParagraph"/>
              <w:numPr>
                <w:ilvl w:val="0"/>
                <w:numId w:val="3"/>
              </w:numPr>
              <w:spacing w:after="0" w:line="240" w:lineRule="auto"/>
              <w:ind w:right="193"/>
            </w:pPr>
            <w:r>
              <w:t>het identificeren van overheidssubsidies en belastingstimulansen tenzij steun van de wettelijke auditor of het auditkantoor voor dit soort diensten bij wet verplicht is,</w:t>
            </w:r>
          </w:p>
          <w:p w:rsidR="004C5061" w:rsidRPr="00991668" w:rsidRDefault="004C5061" w:rsidP="004C5061">
            <w:pPr>
              <w:pStyle w:val="ListParagraph"/>
              <w:numPr>
                <w:ilvl w:val="0"/>
                <w:numId w:val="3"/>
              </w:numPr>
              <w:spacing w:after="0" w:line="240" w:lineRule="auto"/>
              <w:ind w:right="193"/>
            </w:pPr>
            <w:r>
              <w:t>bijstand van de vennootschap, onderworpen aan de wettelijke controle, bij belastinginspecties door de belastingautoriteiten?</w:t>
            </w:r>
          </w:p>
          <w:p w:rsidR="004C5061" w:rsidRPr="00991668" w:rsidRDefault="004C5061" w:rsidP="004C5061">
            <w:pPr>
              <w:pStyle w:val="ListParagraph"/>
              <w:numPr>
                <w:ilvl w:val="0"/>
                <w:numId w:val="3"/>
              </w:numPr>
              <w:spacing w:after="0" w:line="240" w:lineRule="auto"/>
              <w:ind w:right="193"/>
            </w:pPr>
            <w:r>
              <w:t>het berekenen van directe en indirecte belastingen en uitgestelde belastingen?</w:t>
            </w:r>
          </w:p>
          <w:p w:rsidR="004C5061" w:rsidRPr="00991668" w:rsidRDefault="004C5061" w:rsidP="004C5061">
            <w:pPr>
              <w:pStyle w:val="ListParagraph"/>
              <w:numPr>
                <w:ilvl w:val="0"/>
                <w:numId w:val="3"/>
              </w:numPr>
              <w:spacing w:after="0" w:line="240" w:lineRule="auto"/>
              <w:ind w:right="193"/>
            </w:pPr>
            <w:r>
              <w:t>het verstrekken van belastingadvies?</w:t>
            </w:r>
          </w:p>
          <w:p w:rsidR="004C5061" w:rsidRPr="00991668" w:rsidRDefault="004C5061" w:rsidP="004C5061">
            <w:pPr>
              <w:pStyle w:val="ListParagraph"/>
              <w:numPr>
                <w:ilvl w:val="0"/>
                <w:numId w:val="1"/>
              </w:numPr>
              <w:tabs>
                <w:tab w:val="clear" w:pos="567"/>
                <w:tab w:val="left" w:pos="697"/>
              </w:tabs>
              <w:spacing w:after="0" w:line="240" w:lineRule="auto"/>
              <w:ind w:right="193"/>
            </w:pPr>
            <w:r>
              <w:t>juridische diensten met betrekking tot het geven van algemeen advies?</w:t>
            </w:r>
          </w:p>
          <w:p w:rsidR="004C5061" w:rsidRPr="00991668" w:rsidRDefault="004C5061" w:rsidP="004C5061">
            <w:pPr>
              <w:pStyle w:val="ListParagraph"/>
              <w:numPr>
                <w:ilvl w:val="0"/>
                <w:numId w:val="1"/>
              </w:numPr>
              <w:tabs>
                <w:tab w:val="clear" w:pos="567"/>
                <w:tab w:val="left" w:pos="697"/>
              </w:tabs>
              <w:spacing w:after="0" w:line="240" w:lineRule="auto"/>
              <w:ind w:right="193"/>
            </w:pPr>
            <w:r>
              <w:t>loonadministratie?</w:t>
            </w:r>
          </w:p>
          <w:p w:rsidR="004C5061" w:rsidRPr="00C463BB" w:rsidRDefault="004C5061" w:rsidP="004C5061">
            <w:pPr>
              <w:pStyle w:val="ListParagraph"/>
              <w:numPr>
                <w:ilvl w:val="0"/>
                <w:numId w:val="1"/>
              </w:numPr>
              <w:tabs>
                <w:tab w:val="clear" w:pos="567"/>
                <w:tab w:val="left" w:pos="697"/>
              </w:tabs>
              <w:spacing w:after="0" w:line="240" w:lineRule="auto"/>
              <w:ind w:right="193"/>
            </w:pPr>
            <w:r>
              <w:lastRenderedPageBreak/>
              <w:t>het aanbevelen van, handelen in of inschrijven op aandelen in de vennootschap, onderworpen aan de wettelijke controle?</w:t>
            </w:r>
          </w:p>
        </w:tc>
        <w:tc>
          <w:tcPr>
            <w:tcW w:w="879" w:type="dxa"/>
            <w:gridSpan w:val="2"/>
            <w:tcBorders>
              <w:top w:val="single" w:sz="2" w:space="0" w:color="000000"/>
              <w:left w:val="single" w:sz="2" w:space="0" w:color="auto"/>
              <w:bottom w:val="nil"/>
              <w:right w:val="single" w:sz="2" w:space="0" w:color="000000"/>
            </w:tcBorders>
            <w:shd w:val="clear" w:color="auto" w:fill="auto"/>
          </w:tcPr>
          <w:p w:rsidR="004C5061" w:rsidRPr="00312461" w:rsidRDefault="004C5061" w:rsidP="00DF0364">
            <w:pPr>
              <w:spacing w:before="120" w:after="0" w:line="240" w:lineRule="auto"/>
              <w:ind w:left="113" w:right="113"/>
              <w:jc w:val="center"/>
              <w:rPr>
                <w:rFonts w:eastAsia="Times New Roman"/>
                <w:noProof/>
                <w:highlight w:val="yellow"/>
                <w:lang w:eastAsia="fr-BE"/>
              </w:rPr>
            </w:pPr>
          </w:p>
          <w:p w:rsidR="004C5061" w:rsidRPr="00312461" w:rsidRDefault="004C5061" w:rsidP="00DF0364">
            <w:pPr>
              <w:spacing w:before="120" w:after="0" w:line="240" w:lineRule="auto"/>
              <w:ind w:left="113" w:right="113"/>
              <w:jc w:val="center"/>
              <w:rPr>
                <w:rFonts w:eastAsia="Times New Roman"/>
                <w:noProof/>
                <w:highlight w:val="yellow"/>
                <w:lang w:eastAsia="fr-BE"/>
              </w:rPr>
            </w:pPr>
          </w:p>
          <w:p w:rsidR="004C5061" w:rsidRPr="00312461" w:rsidRDefault="004C5061" w:rsidP="00DF0364">
            <w:pPr>
              <w:spacing w:before="120" w:after="0" w:line="240" w:lineRule="auto"/>
              <w:ind w:left="113" w:right="113"/>
              <w:jc w:val="center"/>
              <w:rPr>
                <w:rFonts w:eastAsia="Times New Roman"/>
                <w:noProof/>
                <w:highlight w:val="yellow"/>
                <w:lang w:eastAsia="fr-BE"/>
              </w:rPr>
            </w:pPr>
          </w:p>
          <w:p w:rsidR="004C5061" w:rsidRPr="00312461" w:rsidRDefault="004C5061" w:rsidP="00DF0364">
            <w:pPr>
              <w:spacing w:before="120" w:after="0" w:line="240" w:lineRule="auto"/>
              <w:ind w:left="113" w:right="113"/>
              <w:jc w:val="center"/>
              <w:rPr>
                <w:rFonts w:eastAsia="Times New Roman"/>
                <w:noProof/>
                <w:highlight w:val="yellow"/>
                <w:lang w:eastAsia="fr-BE"/>
              </w:rPr>
            </w:pPr>
          </w:p>
          <w:p w:rsidR="004C5061" w:rsidRPr="00312461" w:rsidRDefault="004C5061" w:rsidP="00DF0364">
            <w:pPr>
              <w:spacing w:before="120" w:after="0" w:line="240" w:lineRule="auto"/>
              <w:ind w:left="113" w:right="113"/>
              <w:jc w:val="center"/>
              <w:rPr>
                <w:rFonts w:eastAsia="Times New Roman"/>
                <w:noProof/>
                <w:highlight w:val="yellow"/>
                <w:lang w:eastAsia="fr-BE"/>
              </w:rPr>
            </w:pPr>
          </w:p>
          <w:p w:rsidR="004C5061" w:rsidRPr="00060CD1" w:rsidRDefault="004C5061" w:rsidP="00DF0364">
            <w:pPr>
              <w:spacing w:before="120" w:after="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p w:rsidR="004C5061" w:rsidRPr="00060CD1" w:rsidRDefault="004C5061" w:rsidP="00DF0364">
            <w:pPr>
              <w:spacing w:before="120" w:after="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p w:rsidR="004C5061" w:rsidRPr="00312461" w:rsidRDefault="004C5061" w:rsidP="00DF0364">
            <w:pPr>
              <w:spacing w:before="120" w:after="0" w:line="240" w:lineRule="auto"/>
              <w:ind w:left="113" w:right="113"/>
              <w:jc w:val="center"/>
              <w:rPr>
                <w:rFonts w:eastAsia="Times New Roman"/>
                <w:noProof/>
                <w:highlight w:val="yellow"/>
                <w:lang w:eastAsia="fr-BE"/>
              </w:rPr>
            </w:pPr>
            <w:r w:rsidRPr="00312461">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312461">
              <w:rPr>
                <w:rFonts w:eastAsia="Times New Roman"/>
                <w:noProof/>
                <w:highlight w:val="yellow"/>
                <w:lang w:eastAsia="fr-BE"/>
              </w:rPr>
            </w:r>
            <w:r w:rsidRPr="00312461">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noProof/>
                <w:highlight w:val="yellow"/>
                <w:lang w:eastAsia="fr-BE"/>
              </w:rPr>
              <w:fldChar w:fldCharType="end"/>
            </w:r>
          </w:p>
          <w:p w:rsidR="004C5061" w:rsidRPr="00312461" w:rsidRDefault="004C5061" w:rsidP="00DF0364">
            <w:pPr>
              <w:spacing w:before="120" w:after="0" w:line="240" w:lineRule="auto"/>
              <w:ind w:left="113" w:right="113"/>
              <w:jc w:val="center"/>
              <w:rPr>
                <w:rFonts w:eastAsia="Times New Roman"/>
                <w:noProof/>
                <w:highlight w:val="yellow"/>
                <w:lang w:eastAsia="fr-BE"/>
              </w:rPr>
            </w:pPr>
          </w:p>
          <w:p w:rsidR="004C5061" w:rsidRPr="00312461" w:rsidRDefault="004C5061" w:rsidP="00DF0364">
            <w:pPr>
              <w:spacing w:before="120" w:after="0" w:line="240" w:lineRule="auto"/>
              <w:ind w:left="113" w:right="113"/>
              <w:jc w:val="center"/>
              <w:rPr>
                <w:rFonts w:eastAsia="Times New Roman"/>
                <w:noProof/>
                <w:highlight w:val="yellow"/>
                <w:lang w:eastAsia="fr-BE"/>
              </w:rPr>
            </w:pPr>
          </w:p>
          <w:p w:rsidR="004C5061" w:rsidRPr="00060CD1" w:rsidRDefault="004C5061" w:rsidP="00DF0364">
            <w:pPr>
              <w:spacing w:before="120" w:after="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p w:rsidR="004C5061" w:rsidRPr="00060CD1" w:rsidRDefault="004C5061" w:rsidP="00DF0364">
            <w:pPr>
              <w:spacing w:before="120" w:after="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p w:rsidR="004C5061" w:rsidRPr="00060CD1" w:rsidRDefault="004C5061" w:rsidP="00DF0364">
            <w:pPr>
              <w:spacing w:before="120" w:after="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p w:rsidR="004C5061" w:rsidRPr="00060CD1" w:rsidRDefault="004C5061" w:rsidP="00DF0364">
            <w:pPr>
              <w:spacing w:before="120" w:after="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p w:rsidR="004C5061" w:rsidRPr="00060CD1" w:rsidRDefault="004C5061" w:rsidP="00DF0364">
            <w:pPr>
              <w:spacing w:before="120" w:after="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p w:rsidR="004C5061" w:rsidRPr="00060CD1" w:rsidRDefault="004C5061" w:rsidP="00DF0364">
            <w:pPr>
              <w:spacing w:before="120" w:after="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p w:rsidR="004C5061" w:rsidRPr="004B3133" w:rsidRDefault="004C5061" w:rsidP="00DF0364">
            <w:pPr>
              <w:spacing w:before="120" w:after="0" w:line="240" w:lineRule="auto"/>
              <w:ind w:left="113" w:right="113"/>
              <w:jc w:val="center"/>
              <w:rPr>
                <w:rFonts w:eastAsia="Times New Roman"/>
                <w:noProof/>
                <w:highlight w:val="yellow"/>
              </w:rPr>
            </w:pPr>
            <w:r w:rsidRPr="004814E4">
              <w:rPr>
                <w:rFonts w:eastAsia="Times New Roman"/>
                <w:noProof/>
                <w:highlight w:val="yellow"/>
                <w:lang w:eastAsia="fr-BE"/>
              </w:rPr>
              <w:lastRenderedPageBreak/>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tc>
        <w:tc>
          <w:tcPr>
            <w:tcW w:w="878" w:type="dxa"/>
            <w:gridSpan w:val="3"/>
            <w:tcBorders>
              <w:top w:val="single" w:sz="2" w:space="0" w:color="000000"/>
              <w:left w:val="single" w:sz="2" w:space="0" w:color="000000"/>
              <w:bottom w:val="nil"/>
              <w:right w:val="single" w:sz="2" w:space="0" w:color="000000"/>
            </w:tcBorders>
          </w:tcPr>
          <w:p w:rsidR="004C5061" w:rsidRPr="00312461" w:rsidRDefault="004C5061" w:rsidP="00DF0364">
            <w:pPr>
              <w:spacing w:before="120" w:after="0" w:line="240" w:lineRule="auto"/>
              <w:ind w:left="113" w:right="113"/>
              <w:jc w:val="both"/>
              <w:rPr>
                <w:rFonts w:eastAsia="Times New Roman"/>
                <w:noProof/>
                <w:highlight w:val="yellow"/>
                <w:lang w:eastAsia="fr-BE"/>
              </w:rPr>
            </w:pPr>
          </w:p>
          <w:p w:rsidR="004C5061" w:rsidRPr="00312461" w:rsidRDefault="004C5061" w:rsidP="00DF0364">
            <w:pPr>
              <w:spacing w:before="120" w:after="0" w:line="240" w:lineRule="auto"/>
              <w:ind w:left="113" w:right="113"/>
              <w:jc w:val="both"/>
              <w:rPr>
                <w:rFonts w:eastAsia="Times New Roman"/>
                <w:noProof/>
                <w:highlight w:val="yellow"/>
                <w:lang w:eastAsia="fr-BE"/>
              </w:rPr>
            </w:pPr>
          </w:p>
          <w:p w:rsidR="004C5061" w:rsidRPr="00312461" w:rsidRDefault="004C5061" w:rsidP="00DF0364">
            <w:pPr>
              <w:spacing w:before="120" w:after="0" w:line="240" w:lineRule="auto"/>
              <w:ind w:left="113" w:right="113"/>
              <w:jc w:val="both"/>
              <w:rPr>
                <w:rFonts w:eastAsia="Times New Roman"/>
                <w:noProof/>
                <w:highlight w:val="yellow"/>
                <w:lang w:eastAsia="fr-BE"/>
              </w:rPr>
            </w:pPr>
          </w:p>
          <w:p w:rsidR="004C5061" w:rsidRPr="00312461" w:rsidRDefault="004C5061" w:rsidP="00DF0364">
            <w:pPr>
              <w:spacing w:before="120" w:after="0" w:line="240" w:lineRule="auto"/>
              <w:ind w:left="113" w:right="113"/>
              <w:jc w:val="both"/>
              <w:rPr>
                <w:rFonts w:eastAsia="Times New Roman"/>
                <w:noProof/>
                <w:highlight w:val="yellow"/>
                <w:lang w:eastAsia="fr-BE"/>
              </w:rPr>
            </w:pPr>
          </w:p>
          <w:p w:rsidR="004C5061" w:rsidRPr="00312461" w:rsidRDefault="004C5061" w:rsidP="00DF0364">
            <w:pPr>
              <w:spacing w:before="120" w:after="0" w:line="240" w:lineRule="auto"/>
              <w:ind w:left="113" w:right="113"/>
              <w:jc w:val="both"/>
              <w:rPr>
                <w:rFonts w:eastAsia="Times New Roman"/>
                <w:noProof/>
                <w:highlight w:val="yellow"/>
                <w:lang w:eastAsia="fr-BE"/>
              </w:rPr>
            </w:pPr>
          </w:p>
          <w:p w:rsidR="004C5061" w:rsidRPr="00060CD1" w:rsidRDefault="004C5061" w:rsidP="00DF0364">
            <w:pPr>
              <w:spacing w:before="120" w:after="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p w:rsidR="004C5061" w:rsidRPr="00060CD1" w:rsidRDefault="004C5061" w:rsidP="00DF0364">
            <w:pPr>
              <w:spacing w:before="120" w:after="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p w:rsidR="004C5061" w:rsidRPr="00312461" w:rsidRDefault="004C5061" w:rsidP="00DF0364">
            <w:pPr>
              <w:spacing w:before="120" w:after="0" w:line="240" w:lineRule="auto"/>
              <w:ind w:left="113" w:right="113"/>
              <w:jc w:val="center"/>
              <w:rPr>
                <w:rFonts w:eastAsia="Times New Roman"/>
                <w:noProof/>
                <w:highlight w:val="yellow"/>
                <w:lang w:eastAsia="fr-BE"/>
              </w:rPr>
            </w:pPr>
            <w:r w:rsidRPr="00312461">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312461">
              <w:rPr>
                <w:rFonts w:eastAsia="Times New Roman"/>
                <w:noProof/>
                <w:highlight w:val="yellow"/>
                <w:lang w:eastAsia="fr-BE"/>
              </w:rPr>
            </w:r>
            <w:r w:rsidRPr="00312461">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noProof/>
                <w:highlight w:val="yellow"/>
                <w:lang w:eastAsia="fr-BE"/>
              </w:rPr>
              <w:fldChar w:fldCharType="end"/>
            </w:r>
          </w:p>
          <w:p w:rsidR="004C5061" w:rsidRPr="00312461" w:rsidRDefault="004C5061" w:rsidP="00DF0364">
            <w:pPr>
              <w:spacing w:before="120" w:after="0" w:line="240" w:lineRule="auto"/>
              <w:ind w:left="113" w:right="113"/>
              <w:jc w:val="center"/>
              <w:rPr>
                <w:rFonts w:eastAsia="Times New Roman"/>
                <w:noProof/>
                <w:highlight w:val="yellow"/>
                <w:lang w:eastAsia="fr-BE"/>
              </w:rPr>
            </w:pPr>
          </w:p>
          <w:p w:rsidR="004C5061" w:rsidRPr="00312461" w:rsidRDefault="004C5061" w:rsidP="00DF0364">
            <w:pPr>
              <w:spacing w:before="120" w:after="0" w:line="240" w:lineRule="auto"/>
              <w:ind w:left="113" w:right="113"/>
              <w:jc w:val="center"/>
              <w:rPr>
                <w:rFonts w:eastAsia="Times New Roman"/>
                <w:noProof/>
                <w:highlight w:val="yellow"/>
                <w:lang w:eastAsia="fr-BE"/>
              </w:rPr>
            </w:pPr>
          </w:p>
          <w:p w:rsidR="004C5061" w:rsidRPr="00060CD1" w:rsidRDefault="004C5061" w:rsidP="00DF0364">
            <w:pPr>
              <w:spacing w:before="120" w:after="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p w:rsidR="004C5061" w:rsidRPr="00060CD1" w:rsidRDefault="004C5061" w:rsidP="00DF0364">
            <w:pPr>
              <w:spacing w:before="120" w:after="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p w:rsidR="004C5061" w:rsidRPr="00060CD1" w:rsidRDefault="004C5061" w:rsidP="00DF0364">
            <w:pPr>
              <w:spacing w:before="120" w:after="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p w:rsidR="004C5061" w:rsidRPr="00060CD1" w:rsidRDefault="004C5061" w:rsidP="00DF0364">
            <w:pPr>
              <w:spacing w:before="120" w:after="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p w:rsidR="004C5061" w:rsidRPr="00060CD1" w:rsidRDefault="004C5061" w:rsidP="00DF0364">
            <w:pPr>
              <w:spacing w:before="120" w:after="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p w:rsidR="004C5061" w:rsidRPr="00060CD1" w:rsidRDefault="004C5061" w:rsidP="00DF0364">
            <w:pPr>
              <w:spacing w:before="120" w:after="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p w:rsidR="004C5061" w:rsidRPr="004B3133" w:rsidRDefault="004C5061" w:rsidP="00DF0364">
            <w:pPr>
              <w:spacing w:before="120" w:after="0" w:line="240" w:lineRule="auto"/>
              <w:ind w:left="113" w:right="113"/>
              <w:jc w:val="center"/>
              <w:rPr>
                <w:rFonts w:eastAsia="Times New Roman"/>
                <w:noProof/>
                <w:highlight w:val="yellow"/>
              </w:rPr>
            </w:pPr>
            <w:r w:rsidRPr="004814E4">
              <w:rPr>
                <w:rFonts w:eastAsia="Times New Roman"/>
                <w:noProof/>
                <w:highlight w:val="yellow"/>
                <w:lang w:eastAsia="fr-BE"/>
              </w:rPr>
              <w:lastRenderedPageBreak/>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tc>
        <w:tc>
          <w:tcPr>
            <w:tcW w:w="1037" w:type="dxa"/>
            <w:gridSpan w:val="2"/>
            <w:tcBorders>
              <w:top w:val="single" w:sz="2" w:space="0" w:color="000000"/>
              <w:left w:val="single" w:sz="2" w:space="0" w:color="000000"/>
              <w:bottom w:val="nil"/>
              <w:right w:val="single" w:sz="4" w:space="0" w:color="auto"/>
            </w:tcBorders>
            <w:shd w:val="clear" w:color="auto" w:fill="auto"/>
          </w:tcPr>
          <w:p w:rsidR="004C5061" w:rsidRPr="00312461" w:rsidRDefault="004C5061" w:rsidP="00DF0364">
            <w:pPr>
              <w:spacing w:before="120" w:after="0" w:line="240" w:lineRule="auto"/>
              <w:ind w:left="113" w:right="113"/>
              <w:jc w:val="both"/>
              <w:rPr>
                <w:rFonts w:eastAsia="Times New Roman" w:cs="Times New Roman"/>
                <w:highlight w:val="yellow"/>
                <w:lang w:eastAsia="fr-BE"/>
              </w:rPr>
            </w:pPr>
          </w:p>
          <w:p w:rsidR="004C5061" w:rsidRPr="00312461" w:rsidRDefault="004C5061" w:rsidP="00DF0364">
            <w:pPr>
              <w:spacing w:before="120" w:after="0" w:line="240" w:lineRule="auto"/>
              <w:ind w:left="113" w:right="113"/>
              <w:jc w:val="both"/>
              <w:rPr>
                <w:rFonts w:eastAsia="Times New Roman" w:cs="Times New Roman"/>
                <w:highlight w:val="yellow"/>
                <w:lang w:eastAsia="fr-BE"/>
              </w:rPr>
            </w:pPr>
          </w:p>
          <w:p w:rsidR="004C5061" w:rsidRPr="00312461" w:rsidRDefault="004C5061" w:rsidP="00DF0364">
            <w:pPr>
              <w:spacing w:before="120" w:after="0" w:line="240" w:lineRule="auto"/>
              <w:ind w:left="113" w:right="113"/>
              <w:jc w:val="both"/>
              <w:rPr>
                <w:rFonts w:eastAsia="Times New Roman" w:cs="Times New Roman"/>
                <w:highlight w:val="yellow"/>
                <w:lang w:eastAsia="fr-BE"/>
              </w:rPr>
            </w:pPr>
          </w:p>
          <w:p w:rsidR="004C5061" w:rsidRPr="00312461" w:rsidRDefault="004C5061" w:rsidP="00DF0364">
            <w:pPr>
              <w:spacing w:before="120" w:after="0" w:line="240" w:lineRule="auto"/>
              <w:ind w:left="113" w:right="113"/>
              <w:jc w:val="both"/>
              <w:rPr>
                <w:rFonts w:eastAsia="Times New Roman" w:cs="Times New Roman"/>
                <w:highlight w:val="yellow"/>
                <w:lang w:eastAsia="fr-BE"/>
              </w:rPr>
            </w:pPr>
          </w:p>
          <w:p w:rsidR="004C5061" w:rsidRPr="00312461" w:rsidRDefault="004C5061" w:rsidP="00DF0364">
            <w:pPr>
              <w:spacing w:before="120" w:after="0" w:line="240" w:lineRule="auto"/>
              <w:ind w:left="113" w:right="113"/>
              <w:jc w:val="both"/>
              <w:rPr>
                <w:rFonts w:eastAsia="Times New Roman" w:cs="Times New Roman"/>
                <w:highlight w:val="yellow"/>
                <w:lang w:eastAsia="fr-BE"/>
              </w:rPr>
            </w:pPr>
          </w:p>
          <w:p w:rsidR="004C5061" w:rsidRPr="00312461" w:rsidRDefault="004C5061" w:rsidP="00DF0364">
            <w:pPr>
              <w:spacing w:before="120" w:after="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8"/>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rsidR="004C5061" w:rsidRPr="00312461" w:rsidRDefault="004C5061" w:rsidP="00DF0364">
            <w:pPr>
              <w:spacing w:before="120" w:after="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8"/>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rsidR="004C5061" w:rsidRPr="00312461" w:rsidRDefault="004C5061" w:rsidP="00DF0364">
            <w:pPr>
              <w:spacing w:before="120" w:after="0" w:line="240" w:lineRule="auto"/>
              <w:ind w:left="113" w:right="113"/>
              <w:jc w:val="center"/>
              <w:rPr>
                <w:rFonts w:eastAsia="Times New Roman"/>
                <w:noProof/>
                <w:highlight w:val="yellow"/>
                <w:lang w:eastAsia="fr-BE"/>
              </w:rPr>
            </w:pPr>
            <w:r w:rsidRPr="00312461">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312461">
              <w:rPr>
                <w:rFonts w:eastAsia="Times New Roman"/>
                <w:noProof/>
                <w:highlight w:val="yellow"/>
                <w:lang w:eastAsia="fr-BE"/>
              </w:rPr>
            </w:r>
            <w:r w:rsidRPr="00312461">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noProof/>
                <w:highlight w:val="yellow"/>
                <w:lang w:eastAsia="fr-BE"/>
              </w:rPr>
              <w:fldChar w:fldCharType="end"/>
            </w:r>
          </w:p>
          <w:p w:rsidR="004C5061" w:rsidRPr="00312461" w:rsidRDefault="004C5061" w:rsidP="00DF0364">
            <w:pPr>
              <w:spacing w:before="120" w:after="0" w:line="240" w:lineRule="auto"/>
              <w:ind w:left="113" w:right="113"/>
              <w:jc w:val="both"/>
              <w:rPr>
                <w:rFonts w:eastAsia="Times New Roman" w:cs="Times New Roman"/>
                <w:highlight w:val="yellow"/>
                <w:lang w:eastAsia="fr-BE"/>
              </w:rPr>
            </w:pPr>
          </w:p>
          <w:p w:rsidR="004C5061" w:rsidRPr="00312461" w:rsidRDefault="004C5061" w:rsidP="00DF0364">
            <w:pPr>
              <w:spacing w:before="120" w:after="0" w:line="240" w:lineRule="auto"/>
              <w:ind w:left="113" w:right="113"/>
              <w:jc w:val="both"/>
              <w:rPr>
                <w:rFonts w:eastAsia="Times New Roman" w:cs="Times New Roman"/>
                <w:highlight w:val="yellow"/>
                <w:lang w:eastAsia="fr-BE"/>
              </w:rPr>
            </w:pPr>
          </w:p>
          <w:p w:rsidR="004C5061" w:rsidRPr="00312461" w:rsidRDefault="004C5061" w:rsidP="00DF0364">
            <w:pPr>
              <w:spacing w:before="120" w:after="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8"/>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rsidR="004C5061" w:rsidRPr="00312461" w:rsidRDefault="004C5061" w:rsidP="00DF0364">
            <w:pPr>
              <w:spacing w:before="120" w:after="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8"/>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rsidR="004C5061" w:rsidRPr="00312461" w:rsidRDefault="004C5061" w:rsidP="00DF0364">
            <w:pPr>
              <w:spacing w:before="120" w:after="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8"/>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rsidR="004C5061" w:rsidRPr="00312461" w:rsidRDefault="004C5061" w:rsidP="00DF0364">
            <w:pPr>
              <w:spacing w:before="120" w:after="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8"/>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rsidR="004C5061" w:rsidRPr="00312461" w:rsidRDefault="004C5061" w:rsidP="00DF0364">
            <w:pPr>
              <w:spacing w:before="120" w:after="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8"/>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rsidR="004C5061" w:rsidRPr="00312461" w:rsidRDefault="004C5061" w:rsidP="00DF0364">
            <w:pPr>
              <w:spacing w:before="120" w:after="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8"/>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rsidR="004C5061" w:rsidRPr="00312461" w:rsidRDefault="004C5061" w:rsidP="00DF0364">
            <w:pPr>
              <w:spacing w:before="120" w:after="0" w:line="240" w:lineRule="auto"/>
              <w:ind w:left="113" w:right="113"/>
              <w:jc w:val="both"/>
              <w:rPr>
                <w:rFonts w:eastAsia="Times New Roman" w:cs="Times New Roman"/>
                <w:highlight w:val="yellow"/>
              </w:rPr>
            </w:pPr>
            <w:r w:rsidRPr="00312461">
              <w:rPr>
                <w:rFonts w:eastAsia="Times New Roman" w:cs="Times New Roman"/>
                <w:highlight w:val="yellow"/>
                <w:lang w:eastAsia="fr-BE"/>
              </w:rPr>
              <w:lastRenderedPageBreak/>
              <w:fldChar w:fldCharType="begin">
                <w:ffData>
                  <w:name w:val="Texte118"/>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tc>
      </w:tr>
      <w:tr w:rsidR="004C5061" w:rsidRPr="007038E4" w:rsidTr="009E6216">
        <w:trPr>
          <w:trHeight w:val="1610"/>
        </w:trPr>
        <w:tc>
          <w:tcPr>
            <w:tcW w:w="7032" w:type="dxa"/>
            <w:tcBorders>
              <w:top w:val="nil"/>
              <w:left w:val="single" w:sz="2" w:space="0" w:color="000000"/>
              <w:bottom w:val="single" w:sz="4" w:space="0" w:color="auto"/>
              <w:right w:val="single" w:sz="2" w:space="0" w:color="auto"/>
            </w:tcBorders>
            <w:shd w:val="clear" w:color="auto" w:fill="auto"/>
          </w:tcPr>
          <w:p w:rsidR="004C5061" w:rsidRDefault="004C5061" w:rsidP="004C5061">
            <w:pPr>
              <w:pStyle w:val="ListParagraph"/>
              <w:numPr>
                <w:ilvl w:val="0"/>
                <w:numId w:val="1"/>
              </w:numPr>
              <w:tabs>
                <w:tab w:val="clear" w:pos="567"/>
                <w:tab w:val="left" w:pos="697"/>
              </w:tabs>
              <w:spacing w:before="0" w:line="240" w:lineRule="auto"/>
              <w:ind w:right="193"/>
            </w:pPr>
            <w:r>
              <w:lastRenderedPageBreak/>
              <w:t xml:space="preserve">diensten die verband houden met de financiering, de kapitaalstructuur en -toewijzing, en de investeringsstrategie van de vennootschap, onderworpen aan de wettelijke controle met uitzondering van het verstrekken van </w:t>
            </w:r>
            <w:proofErr w:type="spellStart"/>
            <w:r>
              <w:t>assurance</w:t>
            </w:r>
            <w:proofErr w:type="spellEnd"/>
            <w:r w:rsidR="006506A7">
              <w:t xml:space="preserve"> </w:t>
            </w:r>
            <w:bookmarkStart w:id="7" w:name="_GoBack"/>
            <w:bookmarkEnd w:id="7"/>
            <w:r>
              <w:t>diensten in verband met financiële overzichten, waaronder het verschaffen van comfort letters met betrekking tot door de vennootschap, onderworpen aan de wettelijke controle, uitgegeven prospectussen?</w:t>
            </w:r>
          </w:p>
        </w:tc>
        <w:tc>
          <w:tcPr>
            <w:tcW w:w="879" w:type="dxa"/>
            <w:gridSpan w:val="2"/>
            <w:tcBorders>
              <w:top w:val="nil"/>
              <w:left w:val="single" w:sz="2" w:space="0" w:color="auto"/>
              <w:bottom w:val="single" w:sz="4" w:space="0" w:color="auto"/>
              <w:right w:val="single" w:sz="2" w:space="0" w:color="000000"/>
            </w:tcBorders>
            <w:shd w:val="clear" w:color="auto" w:fill="auto"/>
          </w:tcPr>
          <w:p w:rsidR="004C5061" w:rsidRPr="00060CD1" w:rsidRDefault="004C5061" w:rsidP="00DF0364">
            <w:pPr>
              <w:spacing w:before="120" w:after="12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p w:rsidR="004C5061" w:rsidRPr="00312461" w:rsidRDefault="004C5061" w:rsidP="00DF0364">
            <w:pPr>
              <w:spacing w:before="120" w:after="120" w:line="240" w:lineRule="auto"/>
              <w:ind w:left="113" w:right="113"/>
              <w:jc w:val="center"/>
              <w:rPr>
                <w:rFonts w:eastAsia="Times New Roman"/>
                <w:noProof/>
                <w:highlight w:val="yellow"/>
                <w:lang w:eastAsia="fr-BE"/>
              </w:rPr>
            </w:pPr>
          </w:p>
        </w:tc>
        <w:tc>
          <w:tcPr>
            <w:tcW w:w="878" w:type="dxa"/>
            <w:gridSpan w:val="3"/>
            <w:tcBorders>
              <w:top w:val="nil"/>
              <w:left w:val="single" w:sz="2" w:space="0" w:color="000000"/>
              <w:bottom w:val="single" w:sz="4" w:space="0" w:color="auto"/>
              <w:right w:val="single" w:sz="2" w:space="0" w:color="000000"/>
            </w:tcBorders>
          </w:tcPr>
          <w:p w:rsidR="004C5061" w:rsidRPr="00060CD1" w:rsidRDefault="004C5061" w:rsidP="00DF0364">
            <w:pPr>
              <w:spacing w:before="120" w:after="12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p w:rsidR="004C5061" w:rsidRPr="00312461" w:rsidRDefault="004C5061" w:rsidP="00DF0364">
            <w:pPr>
              <w:spacing w:before="120" w:after="120" w:line="240" w:lineRule="auto"/>
              <w:ind w:left="113" w:right="113"/>
              <w:jc w:val="center"/>
              <w:rPr>
                <w:rFonts w:eastAsia="Times New Roman"/>
                <w:noProof/>
                <w:highlight w:val="yellow"/>
                <w:lang w:eastAsia="fr-BE"/>
              </w:rPr>
            </w:pPr>
          </w:p>
        </w:tc>
        <w:tc>
          <w:tcPr>
            <w:tcW w:w="1037" w:type="dxa"/>
            <w:gridSpan w:val="2"/>
            <w:tcBorders>
              <w:top w:val="nil"/>
              <w:left w:val="single" w:sz="2" w:space="0" w:color="000000"/>
              <w:bottom w:val="single" w:sz="4" w:space="0" w:color="auto"/>
              <w:right w:val="single" w:sz="4" w:space="0" w:color="auto"/>
            </w:tcBorders>
            <w:shd w:val="clear" w:color="auto" w:fill="auto"/>
          </w:tcPr>
          <w:p w:rsidR="004C5061" w:rsidRPr="00312461" w:rsidRDefault="004C5061" w:rsidP="00DF0364">
            <w:pPr>
              <w:spacing w:before="120" w:after="120" w:line="240" w:lineRule="auto"/>
              <w:ind w:left="113" w:right="113"/>
              <w:jc w:val="both"/>
              <w:rPr>
                <w:rFonts w:eastAsia="Times New Roman" w:cs="Times New Roman"/>
                <w:highlight w:val="yellow"/>
              </w:rPr>
            </w:pPr>
            <w:r w:rsidRPr="00312461">
              <w:rPr>
                <w:rFonts w:eastAsia="Times New Roman" w:cs="Times New Roman"/>
                <w:highlight w:val="yellow"/>
                <w:lang w:eastAsia="fr-BE"/>
              </w:rPr>
              <w:fldChar w:fldCharType="begin">
                <w:ffData>
                  <w:name w:val="Texte118"/>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tc>
      </w:tr>
      <w:tr w:rsidR="004C5061" w:rsidRPr="007038E4" w:rsidTr="009E6216">
        <w:trPr>
          <w:trHeight w:val="2771"/>
        </w:trPr>
        <w:tc>
          <w:tcPr>
            <w:tcW w:w="7032" w:type="dxa"/>
            <w:tcBorders>
              <w:top w:val="single" w:sz="4" w:space="0" w:color="auto"/>
              <w:left w:val="single" w:sz="2" w:space="0" w:color="000000"/>
              <w:bottom w:val="single" w:sz="2" w:space="0" w:color="FFFFFF"/>
              <w:right w:val="single" w:sz="2" w:space="0" w:color="auto"/>
            </w:tcBorders>
            <w:shd w:val="clear" w:color="auto" w:fill="auto"/>
          </w:tcPr>
          <w:p w:rsidR="004C5061" w:rsidRPr="00991668" w:rsidRDefault="004C5061" w:rsidP="00DF0364">
            <w:pPr>
              <w:keepLines/>
              <w:spacing w:before="120" w:after="120" w:line="240" w:lineRule="auto"/>
              <w:ind w:left="130" w:right="193"/>
              <w:jc w:val="both"/>
              <w:rPr>
                <w:rFonts w:eastAsia="Times New Roman"/>
              </w:rPr>
            </w:pPr>
            <w:r>
              <w:t xml:space="preserve">1.2. Voldoen de hiervoor onder 1°, a) en d) tot g) opgenomen diensten cumulatief aan de volgende vereisten: </w:t>
            </w:r>
          </w:p>
          <w:p w:rsidR="004C5061" w:rsidRPr="00991668" w:rsidRDefault="004C5061" w:rsidP="004C5061">
            <w:pPr>
              <w:pStyle w:val="ListParagraph"/>
              <w:numPr>
                <w:ilvl w:val="0"/>
                <w:numId w:val="2"/>
              </w:numPr>
              <w:tabs>
                <w:tab w:val="clear" w:pos="567"/>
                <w:tab w:val="left" w:pos="697"/>
              </w:tabs>
              <w:spacing w:line="240" w:lineRule="auto"/>
              <w:ind w:right="193"/>
            </w:pPr>
            <w:r>
              <w:t>de diensten hebben, hetzij afzonderlijk, hetzij gezamenlijk, geen direct effect op, of ze zijn, hetzij afzonderlijk, hetzij gezamenlijk, niet van materieel belang voor de gecontroleerde jaarrekening?</w:t>
            </w:r>
          </w:p>
          <w:p w:rsidR="004C5061" w:rsidRPr="007E5FB4" w:rsidRDefault="004C5061" w:rsidP="004C5061">
            <w:pPr>
              <w:pStyle w:val="ListParagraph"/>
              <w:numPr>
                <w:ilvl w:val="0"/>
                <w:numId w:val="2"/>
              </w:numPr>
              <w:tabs>
                <w:tab w:val="clear" w:pos="567"/>
                <w:tab w:val="left" w:pos="697"/>
              </w:tabs>
              <w:spacing w:line="240" w:lineRule="auto"/>
              <w:ind w:right="193"/>
            </w:pPr>
            <w:r>
              <w:t>de schatting van het effect op de gecontroleerde jaarrekening wordt uitvoerig gedocumenteerd en toegelicht in de aanvullende verklaring aan het auditcomité zoals bedoeld in artikel 11 van de verordening (EU) nr. 537/2014?</w:t>
            </w:r>
          </w:p>
          <w:p w:rsidR="004C5061" w:rsidRPr="00FB6066" w:rsidRDefault="004C5061" w:rsidP="004C5061">
            <w:pPr>
              <w:pStyle w:val="ListParagraph"/>
              <w:numPr>
                <w:ilvl w:val="0"/>
                <w:numId w:val="2"/>
              </w:numPr>
              <w:tabs>
                <w:tab w:val="clear" w:pos="567"/>
                <w:tab w:val="left" w:pos="697"/>
              </w:tabs>
              <w:spacing w:line="240" w:lineRule="auto"/>
              <w:ind w:right="193"/>
            </w:pPr>
            <w:r>
              <w:t>de commissaris voldoet aan de algemene onafhankelijkheidsbeginselen?</w:t>
            </w:r>
          </w:p>
        </w:tc>
        <w:tc>
          <w:tcPr>
            <w:tcW w:w="879" w:type="dxa"/>
            <w:gridSpan w:val="2"/>
            <w:tcBorders>
              <w:top w:val="single" w:sz="4" w:space="0" w:color="auto"/>
              <w:left w:val="single" w:sz="2" w:space="0" w:color="auto"/>
              <w:bottom w:val="single" w:sz="2" w:space="0" w:color="FFFFFF"/>
              <w:right w:val="single" w:sz="2" w:space="0" w:color="000000"/>
            </w:tcBorders>
            <w:shd w:val="clear" w:color="auto" w:fill="auto"/>
          </w:tcPr>
          <w:p w:rsidR="004C5061" w:rsidRPr="00312461" w:rsidRDefault="004C5061" w:rsidP="00DF0364">
            <w:pPr>
              <w:spacing w:before="120" w:after="120" w:line="240" w:lineRule="auto"/>
              <w:ind w:left="113" w:right="113"/>
              <w:jc w:val="center"/>
              <w:rPr>
                <w:rFonts w:eastAsia="Times New Roman"/>
                <w:noProof/>
                <w:highlight w:val="yellow"/>
                <w:lang w:eastAsia="fr-BE"/>
              </w:rPr>
            </w:pPr>
          </w:p>
          <w:p w:rsidR="004C5061" w:rsidRPr="00312461" w:rsidRDefault="004C5061" w:rsidP="00DF0364">
            <w:pPr>
              <w:spacing w:before="120" w:after="120" w:line="240" w:lineRule="auto"/>
              <w:ind w:left="113" w:right="113"/>
              <w:jc w:val="center"/>
              <w:rPr>
                <w:rFonts w:eastAsia="Times New Roman"/>
                <w:noProof/>
                <w:highlight w:val="yellow"/>
                <w:lang w:eastAsia="fr-BE"/>
              </w:rPr>
            </w:pPr>
          </w:p>
          <w:p w:rsidR="004C5061" w:rsidRPr="00060CD1" w:rsidRDefault="004C5061" w:rsidP="00DF0364">
            <w:pPr>
              <w:spacing w:before="120" w:after="12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p w:rsidR="004C5061" w:rsidRPr="00312461" w:rsidRDefault="004C5061" w:rsidP="00DF0364">
            <w:pPr>
              <w:spacing w:before="120" w:after="120" w:line="240" w:lineRule="auto"/>
              <w:ind w:left="113" w:right="113"/>
              <w:jc w:val="center"/>
              <w:rPr>
                <w:rFonts w:eastAsia="Times New Roman"/>
                <w:noProof/>
                <w:highlight w:val="yellow"/>
                <w:lang w:eastAsia="fr-BE"/>
              </w:rPr>
            </w:pPr>
          </w:p>
          <w:p w:rsidR="004C5061" w:rsidRPr="00312461" w:rsidRDefault="004C5061" w:rsidP="00DF0364">
            <w:pPr>
              <w:spacing w:before="120" w:after="120" w:line="240" w:lineRule="auto"/>
              <w:ind w:left="113" w:right="113"/>
              <w:jc w:val="center"/>
              <w:rPr>
                <w:rFonts w:eastAsia="Times New Roman"/>
                <w:noProof/>
                <w:highlight w:val="yellow"/>
                <w:lang w:eastAsia="fr-BE"/>
              </w:rPr>
            </w:pPr>
          </w:p>
          <w:p w:rsidR="004C5061" w:rsidRPr="00312461" w:rsidRDefault="004C5061" w:rsidP="00DF0364">
            <w:pPr>
              <w:spacing w:before="120" w:after="12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p w:rsidR="004C5061" w:rsidRPr="00312461" w:rsidRDefault="004C5061" w:rsidP="00DF0364">
            <w:pPr>
              <w:spacing w:before="120" w:after="120" w:line="240" w:lineRule="auto"/>
              <w:ind w:left="113" w:right="113"/>
              <w:jc w:val="center"/>
              <w:rPr>
                <w:rFonts w:eastAsia="Times New Roman"/>
                <w:noProof/>
                <w:highlight w:val="yellow"/>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tc>
        <w:tc>
          <w:tcPr>
            <w:tcW w:w="878" w:type="dxa"/>
            <w:gridSpan w:val="3"/>
            <w:tcBorders>
              <w:top w:val="single" w:sz="4" w:space="0" w:color="auto"/>
              <w:left w:val="single" w:sz="2" w:space="0" w:color="000000"/>
              <w:bottom w:val="single" w:sz="2" w:space="0" w:color="FFFFFF"/>
              <w:right w:val="single" w:sz="2" w:space="0" w:color="000000"/>
            </w:tcBorders>
          </w:tcPr>
          <w:p w:rsidR="004C5061" w:rsidRPr="00312461" w:rsidRDefault="004C5061" w:rsidP="00DF0364">
            <w:pPr>
              <w:spacing w:before="120" w:after="120" w:line="240" w:lineRule="auto"/>
              <w:ind w:left="113" w:right="113"/>
              <w:jc w:val="center"/>
              <w:rPr>
                <w:rFonts w:eastAsia="Times New Roman"/>
                <w:noProof/>
                <w:highlight w:val="yellow"/>
                <w:lang w:eastAsia="fr-BE"/>
              </w:rPr>
            </w:pPr>
          </w:p>
          <w:p w:rsidR="004C5061" w:rsidRPr="00312461" w:rsidRDefault="004C5061" w:rsidP="00DF0364">
            <w:pPr>
              <w:spacing w:before="120" w:after="120" w:line="240" w:lineRule="auto"/>
              <w:ind w:left="113" w:right="113"/>
              <w:jc w:val="center"/>
              <w:rPr>
                <w:rFonts w:eastAsia="Times New Roman"/>
                <w:noProof/>
                <w:highlight w:val="yellow"/>
                <w:lang w:eastAsia="fr-BE"/>
              </w:rPr>
            </w:pPr>
          </w:p>
          <w:p w:rsidR="004C5061" w:rsidRPr="00060CD1" w:rsidRDefault="004C5061" w:rsidP="00DF0364">
            <w:pPr>
              <w:spacing w:before="120" w:after="12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p w:rsidR="004C5061" w:rsidRPr="00312461" w:rsidRDefault="004C5061" w:rsidP="00DF0364">
            <w:pPr>
              <w:spacing w:before="120" w:after="120" w:line="240" w:lineRule="auto"/>
              <w:ind w:left="113" w:right="113"/>
              <w:jc w:val="center"/>
              <w:rPr>
                <w:rFonts w:eastAsia="Times New Roman"/>
                <w:noProof/>
                <w:highlight w:val="yellow"/>
                <w:lang w:eastAsia="fr-BE"/>
              </w:rPr>
            </w:pPr>
          </w:p>
          <w:p w:rsidR="004C5061" w:rsidRPr="00312461" w:rsidRDefault="004C5061" w:rsidP="00DF0364">
            <w:pPr>
              <w:spacing w:before="120" w:after="120" w:line="240" w:lineRule="auto"/>
              <w:ind w:left="113" w:right="113"/>
              <w:jc w:val="center"/>
              <w:rPr>
                <w:rFonts w:eastAsia="Times New Roman"/>
                <w:noProof/>
                <w:highlight w:val="yellow"/>
                <w:lang w:eastAsia="fr-BE"/>
              </w:rPr>
            </w:pPr>
          </w:p>
          <w:p w:rsidR="004C5061" w:rsidRPr="00060CD1" w:rsidRDefault="004C5061" w:rsidP="00DF0364">
            <w:pPr>
              <w:spacing w:before="120" w:after="12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p w:rsidR="004C5061" w:rsidRPr="00312461" w:rsidRDefault="004C5061" w:rsidP="00DF0364">
            <w:pPr>
              <w:spacing w:before="120" w:after="120" w:line="240" w:lineRule="auto"/>
              <w:ind w:right="113"/>
              <w:jc w:val="center"/>
              <w:rPr>
                <w:rFonts w:eastAsia="Times New Roman"/>
                <w:noProof/>
                <w:highlight w:val="yellow"/>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tc>
        <w:tc>
          <w:tcPr>
            <w:tcW w:w="1037" w:type="dxa"/>
            <w:gridSpan w:val="2"/>
            <w:tcBorders>
              <w:top w:val="single" w:sz="4" w:space="0" w:color="auto"/>
              <w:left w:val="single" w:sz="2" w:space="0" w:color="000000"/>
              <w:bottom w:val="single" w:sz="2" w:space="0" w:color="FFFFFF"/>
              <w:right w:val="single" w:sz="4" w:space="0" w:color="auto"/>
            </w:tcBorders>
            <w:shd w:val="clear" w:color="auto" w:fill="auto"/>
          </w:tcPr>
          <w:p w:rsidR="004C5061" w:rsidRPr="00312461" w:rsidRDefault="004C5061" w:rsidP="00DF0364">
            <w:pPr>
              <w:spacing w:before="120" w:after="120" w:line="240" w:lineRule="auto"/>
              <w:ind w:left="113" w:right="113"/>
              <w:jc w:val="both"/>
              <w:rPr>
                <w:rFonts w:eastAsia="Times New Roman" w:cs="Times New Roman"/>
                <w:highlight w:val="yellow"/>
                <w:lang w:eastAsia="fr-BE"/>
              </w:rPr>
            </w:pPr>
          </w:p>
          <w:p w:rsidR="004C5061" w:rsidRPr="00312461" w:rsidRDefault="004C5061" w:rsidP="00DF0364">
            <w:pPr>
              <w:spacing w:before="120" w:after="120" w:line="240" w:lineRule="auto"/>
              <w:ind w:left="113" w:right="113"/>
              <w:jc w:val="both"/>
              <w:rPr>
                <w:rFonts w:eastAsia="Times New Roman" w:cs="Times New Roman"/>
                <w:highlight w:val="yellow"/>
                <w:lang w:eastAsia="fr-BE"/>
              </w:rPr>
            </w:pPr>
          </w:p>
          <w:p w:rsidR="004C5061" w:rsidRPr="00312461" w:rsidRDefault="004C5061" w:rsidP="00DF0364">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8"/>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rsidR="004C5061" w:rsidRPr="00312461" w:rsidRDefault="004C5061" w:rsidP="00DF0364">
            <w:pPr>
              <w:spacing w:before="120" w:after="120" w:line="240" w:lineRule="auto"/>
              <w:ind w:left="113" w:right="113"/>
              <w:jc w:val="both"/>
              <w:rPr>
                <w:rFonts w:eastAsia="Times New Roman" w:cs="Times New Roman"/>
                <w:highlight w:val="yellow"/>
                <w:lang w:eastAsia="fr-BE"/>
              </w:rPr>
            </w:pPr>
          </w:p>
          <w:p w:rsidR="004C5061" w:rsidRPr="00312461" w:rsidRDefault="004C5061" w:rsidP="00DF0364">
            <w:pPr>
              <w:spacing w:before="120" w:after="120" w:line="240" w:lineRule="auto"/>
              <w:ind w:left="113" w:right="113"/>
              <w:jc w:val="both"/>
              <w:rPr>
                <w:rFonts w:eastAsia="Times New Roman" w:cs="Times New Roman"/>
                <w:highlight w:val="yellow"/>
                <w:lang w:eastAsia="fr-BE"/>
              </w:rPr>
            </w:pPr>
          </w:p>
          <w:p w:rsidR="004C5061" w:rsidRPr="00312461" w:rsidRDefault="004C5061" w:rsidP="00DF0364">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8"/>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rsidR="004C5061" w:rsidRPr="00312461" w:rsidRDefault="004C5061" w:rsidP="00DF0364">
            <w:pPr>
              <w:spacing w:before="120" w:after="120" w:line="240" w:lineRule="auto"/>
              <w:ind w:left="113" w:right="113"/>
              <w:jc w:val="both"/>
              <w:rPr>
                <w:rFonts w:eastAsia="Times New Roman" w:cs="Times New Roman"/>
                <w:sz w:val="24"/>
                <w:highlight w:val="yellow"/>
              </w:rPr>
            </w:pPr>
            <w:r w:rsidRPr="00312461">
              <w:rPr>
                <w:rFonts w:eastAsia="Times New Roman" w:cs="Times New Roman"/>
                <w:highlight w:val="yellow"/>
                <w:lang w:eastAsia="fr-BE"/>
              </w:rPr>
              <w:fldChar w:fldCharType="begin">
                <w:ffData>
                  <w:name w:val="Texte118"/>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tc>
      </w:tr>
      <w:tr w:rsidR="004C5061" w:rsidRPr="007038E4" w:rsidTr="009E6216">
        <w:trPr>
          <w:trHeight w:val="975"/>
        </w:trPr>
        <w:tc>
          <w:tcPr>
            <w:tcW w:w="7032" w:type="dxa"/>
            <w:tcBorders>
              <w:top w:val="nil"/>
              <w:left w:val="single" w:sz="2" w:space="0" w:color="000000"/>
              <w:bottom w:val="single" w:sz="2" w:space="0" w:color="FFFFFF"/>
              <w:right w:val="single" w:sz="2" w:space="0" w:color="auto"/>
            </w:tcBorders>
            <w:shd w:val="clear" w:color="auto" w:fill="auto"/>
          </w:tcPr>
          <w:p w:rsidR="004C5061" w:rsidRPr="007038E4" w:rsidRDefault="004C5061" w:rsidP="00DF0364">
            <w:pPr>
              <w:spacing w:after="120" w:line="240" w:lineRule="auto"/>
              <w:ind w:left="113" w:right="193"/>
              <w:jc w:val="both"/>
              <w:rPr>
                <w:rFonts w:eastAsia="Times New Roman"/>
              </w:rPr>
            </w:pPr>
            <w:r>
              <w:t>1.3. Heeft, in voorkomend geval, de commissaris die deel uitmaakt van een netwerk of een lid van dit netwerk, van een lid van het auditcomité de toestemming verkregen om  niet-</w:t>
            </w:r>
            <w:proofErr w:type="spellStart"/>
            <w:r>
              <w:t>conctrolediensten</w:t>
            </w:r>
            <w:proofErr w:type="spellEnd"/>
            <w:r>
              <w:t xml:space="preserve"> die niet verboden zijn te leveren aan deze organisatie van openbaar belang?</w:t>
            </w:r>
          </w:p>
        </w:tc>
        <w:tc>
          <w:tcPr>
            <w:tcW w:w="879" w:type="dxa"/>
            <w:gridSpan w:val="2"/>
            <w:tcBorders>
              <w:top w:val="nil"/>
              <w:left w:val="single" w:sz="2" w:space="0" w:color="auto"/>
              <w:bottom w:val="single" w:sz="2" w:space="0" w:color="FFFFFF"/>
              <w:right w:val="single" w:sz="2" w:space="0" w:color="000000"/>
            </w:tcBorders>
            <w:shd w:val="clear" w:color="auto" w:fill="auto"/>
          </w:tcPr>
          <w:p w:rsidR="004C5061" w:rsidRPr="00312461" w:rsidRDefault="004C5061" w:rsidP="00DF0364">
            <w:pPr>
              <w:spacing w:before="120" w:after="120" w:line="240" w:lineRule="auto"/>
              <w:ind w:left="113" w:right="113"/>
              <w:jc w:val="center"/>
              <w:rPr>
                <w:rFonts w:eastAsia="Times New Roman"/>
                <w:noProof/>
                <w:highlight w:val="yellow"/>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tc>
        <w:tc>
          <w:tcPr>
            <w:tcW w:w="878" w:type="dxa"/>
            <w:gridSpan w:val="3"/>
            <w:tcBorders>
              <w:top w:val="nil"/>
              <w:left w:val="single" w:sz="2" w:space="0" w:color="000000"/>
              <w:bottom w:val="single" w:sz="2" w:space="0" w:color="FFFFFF"/>
              <w:right w:val="single" w:sz="2" w:space="0" w:color="000000"/>
            </w:tcBorders>
          </w:tcPr>
          <w:p w:rsidR="004C5061" w:rsidRPr="00312461" w:rsidRDefault="004C5061" w:rsidP="00DF0364">
            <w:pPr>
              <w:spacing w:before="120" w:after="120" w:line="240" w:lineRule="auto"/>
              <w:ind w:left="113" w:right="113"/>
              <w:jc w:val="both"/>
              <w:rPr>
                <w:rFonts w:eastAsia="Times New Roman"/>
                <w:noProof/>
                <w:highlight w:val="yellow"/>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tc>
        <w:tc>
          <w:tcPr>
            <w:tcW w:w="1037" w:type="dxa"/>
            <w:gridSpan w:val="2"/>
            <w:tcBorders>
              <w:top w:val="nil"/>
              <w:left w:val="single" w:sz="2" w:space="0" w:color="000000"/>
              <w:bottom w:val="single" w:sz="2" w:space="0" w:color="FFFFFF"/>
              <w:right w:val="single" w:sz="4" w:space="0" w:color="auto"/>
            </w:tcBorders>
            <w:shd w:val="clear" w:color="auto" w:fill="auto"/>
          </w:tcPr>
          <w:p w:rsidR="004C5061" w:rsidRPr="00312461" w:rsidRDefault="004C5061" w:rsidP="00DF0364">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4C5061" w:rsidRPr="007038E4" w:rsidTr="009E6216">
        <w:tc>
          <w:tcPr>
            <w:tcW w:w="9826" w:type="dxa"/>
            <w:gridSpan w:val="8"/>
            <w:tcBorders>
              <w:bottom w:val="single" w:sz="4" w:space="0" w:color="auto"/>
            </w:tcBorders>
          </w:tcPr>
          <w:p w:rsidR="004C5061" w:rsidRPr="007038E4" w:rsidRDefault="009E6216" w:rsidP="00DF0364">
            <w:pPr>
              <w:spacing w:before="120" w:after="120" w:line="240" w:lineRule="auto"/>
              <w:ind w:left="107" w:right="193"/>
              <w:jc w:val="both"/>
              <w:rPr>
                <w:rFonts w:eastAsia="Times New Roman" w:cs="Times New Roman"/>
                <w:sz w:val="24"/>
              </w:rPr>
            </w:pPr>
            <w:r>
              <w:t xml:space="preserve">2. Verlenen van toegelaten niet-controlediensten en onafhankelijkheid voor </w:t>
            </w:r>
            <w:proofErr w:type="spellStart"/>
            <w:r>
              <w:t>OOB’s</w:t>
            </w:r>
            <w:proofErr w:type="spellEnd"/>
            <w:r>
              <w:t xml:space="preserve"> (art. 133/2, § 1-2 en 134, § 7 W. </w:t>
            </w:r>
            <w:proofErr w:type="spellStart"/>
            <w:r>
              <w:t>Venn</w:t>
            </w:r>
            <w:proofErr w:type="spellEnd"/>
            <w:r w:rsidRPr="007F1FA9">
              <w:t>./ art. 3:64, §1-2 en 3:65 §7 WVV</w:t>
            </w:r>
            <w:r>
              <w:t>)</w:t>
            </w:r>
          </w:p>
        </w:tc>
      </w:tr>
      <w:tr w:rsidR="004C5061" w:rsidRPr="007038E4" w:rsidTr="009E6216">
        <w:trPr>
          <w:trHeight w:val="2068"/>
        </w:trPr>
        <w:tc>
          <w:tcPr>
            <w:tcW w:w="7032" w:type="dxa"/>
            <w:tcBorders>
              <w:top w:val="single" w:sz="4" w:space="0" w:color="auto"/>
              <w:bottom w:val="nil"/>
            </w:tcBorders>
            <w:shd w:val="clear" w:color="auto" w:fill="auto"/>
          </w:tcPr>
          <w:p w:rsidR="004C5061" w:rsidRPr="00C463BB" w:rsidRDefault="004C5061" w:rsidP="00DF0364">
            <w:pPr>
              <w:spacing w:before="120" w:after="120" w:line="240" w:lineRule="auto"/>
              <w:ind w:left="113" w:right="193"/>
              <w:jc w:val="both"/>
              <w:rPr>
                <w:bCs/>
              </w:rPr>
            </w:pPr>
            <w:r>
              <w:t>2.1. Ligt het totale bedrag van de honoraria voor andere diensten dan de opdrachten die door de wet of door de wetgeving van de Europese Unie werden toevertrouwd aan de commissaris hoger dan 70% van het totaalbedrag van deze honoraria voor controlediensten op basis van de drie boekjaren van het mandaat?</w:t>
            </w:r>
          </w:p>
          <w:p w:rsidR="004C5061" w:rsidRPr="00991668" w:rsidRDefault="004C5061" w:rsidP="00DF0364">
            <w:pPr>
              <w:pStyle w:val="ListParagraph"/>
              <w:tabs>
                <w:tab w:val="left" w:pos="641"/>
              </w:tabs>
              <w:spacing w:after="0" w:line="240" w:lineRule="auto"/>
              <w:ind w:left="567" w:right="193"/>
              <w:rPr>
                <w:bCs/>
              </w:rPr>
            </w:pPr>
            <w:r>
              <w:t xml:space="preserve">(de berekening dient te gebeuren voor het geheel bestaande uit de gecontroleerde entiteit, haar moedervennootschap en de dochtervennootschappen, maar beperkt tot de niet-controlediensten van de commissaris van de entiteit en dus niet voor de prestaties van zijn netwerk) </w:t>
            </w:r>
          </w:p>
        </w:tc>
        <w:tc>
          <w:tcPr>
            <w:tcW w:w="879" w:type="dxa"/>
            <w:gridSpan w:val="2"/>
            <w:tcBorders>
              <w:top w:val="single" w:sz="4" w:space="0" w:color="auto"/>
              <w:bottom w:val="nil"/>
            </w:tcBorders>
            <w:shd w:val="clear" w:color="auto" w:fill="auto"/>
          </w:tcPr>
          <w:p w:rsidR="004C5061" w:rsidRPr="004B3133" w:rsidRDefault="004C5061" w:rsidP="00DF0364">
            <w:pPr>
              <w:spacing w:before="120" w:after="120" w:line="240" w:lineRule="auto"/>
              <w:ind w:left="113" w:right="113"/>
              <w:jc w:val="center"/>
              <w:rPr>
                <w:rFonts w:eastAsia="Times New Roman" w:cs="Times New Roman"/>
                <w:sz w:val="24"/>
                <w:highlight w:val="yellow"/>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tc>
        <w:tc>
          <w:tcPr>
            <w:tcW w:w="878" w:type="dxa"/>
            <w:gridSpan w:val="3"/>
            <w:tcBorders>
              <w:top w:val="single" w:sz="4" w:space="0" w:color="auto"/>
              <w:bottom w:val="nil"/>
            </w:tcBorders>
          </w:tcPr>
          <w:p w:rsidR="004C5061" w:rsidRPr="004B3133" w:rsidRDefault="004C5061" w:rsidP="00DF0364">
            <w:pPr>
              <w:spacing w:before="120" w:after="120" w:line="240" w:lineRule="auto"/>
              <w:ind w:left="113" w:right="113"/>
              <w:jc w:val="both"/>
              <w:rPr>
                <w:rFonts w:eastAsia="Times New Roman" w:cs="Times New Roman"/>
                <w:sz w:val="24"/>
                <w:highlight w:val="yellow"/>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tc>
        <w:tc>
          <w:tcPr>
            <w:tcW w:w="1037" w:type="dxa"/>
            <w:gridSpan w:val="2"/>
            <w:tcBorders>
              <w:top w:val="single" w:sz="4" w:space="0" w:color="auto"/>
              <w:bottom w:val="nil"/>
            </w:tcBorders>
            <w:shd w:val="clear" w:color="auto" w:fill="auto"/>
          </w:tcPr>
          <w:p w:rsidR="004C5061" w:rsidRPr="00312461" w:rsidRDefault="004C5061" w:rsidP="00DF0364">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10"/>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4C5061" w:rsidRPr="007038E4" w:rsidTr="009E6216">
        <w:trPr>
          <w:trHeight w:val="1172"/>
        </w:trPr>
        <w:tc>
          <w:tcPr>
            <w:tcW w:w="7032" w:type="dxa"/>
            <w:tcBorders>
              <w:top w:val="nil"/>
              <w:bottom w:val="nil"/>
            </w:tcBorders>
            <w:shd w:val="clear" w:color="auto" w:fill="auto"/>
          </w:tcPr>
          <w:p w:rsidR="004C5061" w:rsidRPr="00991668" w:rsidRDefault="004C5061" w:rsidP="00DF0364">
            <w:pPr>
              <w:spacing w:before="120" w:after="120" w:line="240" w:lineRule="auto"/>
              <w:ind w:left="113" w:right="193"/>
              <w:jc w:val="both"/>
              <w:rPr>
                <w:bCs/>
              </w:rPr>
            </w:pPr>
            <w:r>
              <w:t>2.2. Afwijking: Zo ja, heeft het College van toezicht op de bedrijfsrevisoren (CTR) de commissaris voor een periode van maximaal twee boekjaren vrijgesteld van het in vorig punt bedoeld verbod?</w:t>
            </w:r>
          </w:p>
        </w:tc>
        <w:tc>
          <w:tcPr>
            <w:tcW w:w="879" w:type="dxa"/>
            <w:gridSpan w:val="2"/>
            <w:tcBorders>
              <w:top w:val="nil"/>
              <w:bottom w:val="nil"/>
            </w:tcBorders>
            <w:shd w:val="clear" w:color="auto" w:fill="auto"/>
          </w:tcPr>
          <w:p w:rsidR="004C5061" w:rsidRPr="004B3133" w:rsidRDefault="004C5061" w:rsidP="00DF0364">
            <w:pPr>
              <w:spacing w:before="120" w:after="120" w:line="240" w:lineRule="auto"/>
              <w:ind w:left="113" w:right="113"/>
              <w:jc w:val="center"/>
              <w:rPr>
                <w:rFonts w:eastAsia="Times New Roman" w:cs="Times New Roman"/>
                <w:sz w:val="24"/>
                <w:highlight w:val="yellow"/>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tc>
        <w:tc>
          <w:tcPr>
            <w:tcW w:w="878" w:type="dxa"/>
            <w:gridSpan w:val="3"/>
            <w:tcBorders>
              <w:top w:val="nil"/>
              <w:bottom w:val="nil"/>
            </w:tcBorders>
          </w:tcPr>
          <w:p w:rsidR="004C5061" w:rsidRPr="004B3133" w:rsidRDefault="004C5061" w:rsidP="00DF0364">
            <w:pPr>
              <w:spacing w:before="120" w:after="120" w:line="240" w:lineRule="auto"/>
              <w:ind w:left="113" w:right="113"/>
              <w:jc w:val="both"/>
              <w:rPr>
                <w:rFonts w:eastAsia="Times New Roman" w:cs="Times New Roman"/>
                <w:sz w:val="24"/>
                <w:highlight w:val="yellow"/>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tc>
        <w:tc>
          <w:tcPr>
            <w:tcW w:w="1037" w:type="dxa"/>
            <w:gridSpan w:val="2"/>
            <w:tcBorders>
              <w:top w:val="nil"/>
              <w:bottom w:val="nil"/>
            </w:tcBorders>
            <w:shd w:val="clear" w:color="auto" w:fill="auto"/>
          </w:tcPr>
          <w:p w:rsidR="004C5061" w:rsidRPr="00312461" w:rsidRDefault="004C5061" w:rsidP="00DF0364">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10"/>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4C5061" w:rsidRPr="007038E4" w:rsidTr="009E6216">
        <w:trPr>
          <w:trHeight w:val="677"/>
        </w:trPr>
        <w:tc>
          <w:tcPr>
            <w:tcW w:w="7032" w:type="dxa"/>
            <w:tcBorders>
              <w:top w:val="nil"/>
              <w:bottom w:val="nil"/>
            </w:tcBorders>
            <w:shd w:val="clear" w:color="auto" w:fill="auto"/>
          </w:tcPr>
          <w:p w:rsidR="004C5061" w:rsidRPr="00991668" w:rsidRDefault="004C5061" w:rsidP="00DF0364">
            <w:pPr>
              <w:spacing w:before="120" w:after="120" w:line="240" w:lineRule="auto"/>
              <w:ind w:left="113" w:right="193"/>
              <w:jc w:val="both"/>
              <w:rPr>
                <w:bCs/>
              </w:rPr>
            </w:pPr>
            <w:r>
              <w:t>2.3. In geval van afwijking, werden de afwijking en de verantwoording ervan behandeld overeenkomstig het Wetboek van vennootschappen (in de toelichting bij de jaarrekening of commissarisverslag)?</w:t>
            </w:r>
          </w:p>
        </w:tc>
        <w:tc>
          <w:tcPr>
            <w:tcW w:w="879" w:type="dxa"/>
            <w:gridSpan w:val="2"/>
            <w:tcBorders>
              <w:top w:val="nil"/>
              <w:bottom w:val="nil"/>
            </w:tcBorders>
            <w:shd w:val="clear" w:color="auto" w:fill="auto"/>
          </w:tcPr>
          <w:p w:rsidR="004C5061" w:rsidRPr="004B3133" w:rsidRDefault="004C5061" w:rsidP="00DF0364">
            <w:pPr>
              <w:spacing w:before="120" w:after="120" w:line="240" w:lineRule="auto"/>
              <w:ind w:left="113" w:right="113"/>
              <w:jc w:val="center"/>
              <w:rPr>
                <w:rFonts w:eastAsia="Times New Roman" w:cs="Times New Roman"/>
                <w:sz w:val="24"/>
                <w:highlight w:val="yellow"/>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tc>
        <w:tc>
          <w:tcPr>
            <w:tcW w:w="878" w:type="dxa"/>
            <w:gridSpan w:val="3"/>
            <w:tcBorders>
              <w:top w:val="nil"/>
              <w:bottom w:val="nil"/>
            </w:tcBorders>
          </w:tcPr>
          <w:p w:rsidR="004C5061" w:rsidRPr="004B3133" w:rsidRDefault="004C5061" w:rsidP="00DF0364">
            <w:pPr>
              <w:spacing w:before="120" w:after="120" w:line="240" w:lineRule="auto"/>
              <w:ind w:left="113" w:right="113"/>
              <w:jc w:val="both"/>
              <w:rPr>
                <w:rFonts w:eastAsia="Times New Roman" w:cs="Times New Roman"/>
                <w:sz w:val="24"/>
                <w:highlight w:val="yellow"/>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tc>
        <w:tc>
          <w:tcPr>
            <w:tcW w:w="1037" w:type="dxa"/>
            <w:gridSpan w:val="2"/>
            <w:tcBorders>
              <w:top w:val="nil"/>
              <w:bottom w:val="nil"/>
            </w:tcBorders>
            <w:shd w:val="clear" w:color="auto" w:fill="auto"/>
          </w:tcPr>
          <w:p w:rsidR="004C5061" w:rsidRPr="00312461" w:rsidRDefault="004C5061" w:rsidP="00DF0364">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10"/>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4C5061" w:rsidRPr="007038E4" w:rsidTr="009E6216">
        <w:trPr>
          <w:trHeight w:val="577"/>
        </w:trPr>
        <w:tc>
          <w:tcPr>
            <w:tcW w:w="7032" w:type="dxa"/>
            <w:tcBorders>
              <w:top w:val="nil"/>
              <w:bottom w:val="nil"/>
            </w:tcBorders>
            <w:shd w:val="clear" w:color="auto" w:fill="auto"/>
          </w:tcPr>
          <w:p w:rsidR="004C5061" w:rsidRPr="00991668" w:rsidRDefault="009E6216" w:rsidP="00DF0364">
            <w:pPr>
              <w:spacing w:before="120" w:after="120" w:line="240" w:lineRule="auto"/>
              <w:ind w:left="113" w:right="193"/>
              <w:jc w:val="both"/>
            </w:pPr>
            <w:r>
              <w:t xml:space="preserve">2.4. Bedragen de totale honoraria die van een organisatie van openbaar belang, bedoeld in artikel 4/1 van het Wetboek van vennootschappen/ artikel 1:12 van het Wetboek van vennootschappen en verenigingen, in elk van de laatste drie opeenvolgende boekjaren worden ontvangen, meer dan 15% van </w:t>
            </w:r>
            <w:r>
              <w:lastRenderedPageBreak/>
              <w:t xml:space="preserve">de totale honoraria van de commissaris die de wettelijke controle in elk van die boekjaren uitvoert (art. 134, § 7 W. </w:t>
            </w:r>
            <w:proofErr w:type="spellStart"/>
            <w:r>
              <w:t>Venn</w:t>
            </w:r>
            <w:proofErr w:type="spellEnd"/>
            <w:r w:rsidRPr="007F1FA9">
              <w:t>./ art. 3:65 §7 WVV)?</w:t>
            </w:r>
          </w:p>
        </w:tc>
        <w:tc>
          <w:tcPr>
            <w:tcW w:w="879" w:type="dxa"/>
            <w:gridSpan w:val="2"/>
            <w:tcBorders>
              <w:top w:val="nil"/>
              <w:bottom w:val="nil"/>
            </w:tcBorders>
            <w:shd w:val="clear" w:color="auto" w:fill="auto"/>
          </w:tcPr>
          <w:p w:rsidR="004C5061" w:rsidRPr="00312461" w:rsidRDefault="004C5061" w:rsidP="00DF0364">
            <w:pPr>
              <w:spacing w:before="120" w:after="120" w:line="240" w:lineRule="auto"/>
              <w:ind w:left="113" w:right="113"/>
              <w:jc w:val="center"/>
              <w:rPr>
                <w:rFonts w:eastAsia="Times New Roman" w:cs="Times New Roman"/>
                <w:sz w:val="24"/>
                <w:highlight w:val="yellow"/>
              </w:rPr>
            </w:pPr>
            <w:r w:rsidRPr="00312461">
              <w:rPr>
                <w:rFonts w:eastAsia="Times New Roman" w:cs="Times New Roman"/>
                <w:sz w:val="24"/>
                <w:highlight w:val="yellow"/>
                <w:lang w:eastAsia="fr-BE"/>
              </w:rPr>
              <w:lastRenderedPageBreak/>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878" w:type="dxa"/>
            <w:gridSpan w:val="3"/>
            <w:tcBorders>
              <w:top w:val="nil"/>
              <w:bottom w:val="nil"/>
            </w:tcBorders>
          </w:tcPr>
          <w:p w:rsidR="004C5061" w:rsidRPr="00312461" w:rsidRDefault="004C5061" w:rsidP="00DF0364">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037" w:type="dxa"/>
            <w:gridSpan w:val="2"/>
            <w:tcBorders>
              <w:top w:val="nil"/>
              <w:bottom w:val="nil"/>
            </w:tcBorders>
            <w:shd w:val="clear" w:color="auto" w:fill="auto"/>
          </w:tcPr>
          <w:p w:rsidR="004C5061" w:rsidRPr="00312461" w:rsidRDefault="004C5061" w:rsidP="00DF0364">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4C5061" w:rsidRPr="007038E4" w:rsidTr="009E6216">
        <w:tc>
          <w:tcPr>
            <w:tcW w:w="7032" w:type="dxa"/>
            <w:tcBorders>
              <w:top w:val="nil"/>
            </w:tcBorders>
            <w:shd w:val="clear" w:color="auto" w:fill="auto"/>
          </w:tcPr>
          <w:p w:rsidR="004C5061" w:rsidRPr="00991668" w:rsidRDefault="004C5061" w:rsidP="00DF0364">
            <w:pPr>
              <w:spacing w:before="120" w:after="120" w:line="240" w:lineRule="auto"/>
              <w:ind w:left="113" w:right="193"/>
              <w:jc w:val="both"/>
              <w:rPr>
                <w:bCs/>
              </w:rPr>
            </w:pPr>
            <w:r>
              <w:t>2.5. Zo ja, heeft de commissaris het auditcomité daarvan in kennis gesteld en heeft hij met het auditcomité de bedreigingen voor zijn onafhankelijkheid en de getroffen veiligheidsmaatregelen om die bedreigingen in te perken, besproken?</w:t>
            </w:r>
          </w:p>
        </w:tc>
        <w:tc>
          <w:tcPr>
            <w:tcW w:w="879" w:type="dxa"/>
            <w:gridSpan w:val="2"/>
            <w:tcBorders>
              <w:top w:val="nil"/>
            </w:tcBorders>
            <w:shd w:val="clear" w:color="auto" w:fill="auto"/>
          </w:tcPr>
          <w:p w:rsidR="004C5061" w:rsidRPr="00312461" w:rsidRDefault="004C5061" w:rsidP="00DF0364">
            <w:pPr>
              <w:spacing w:before="120" w:after="120" w:line="240" w:lineRule="auto"/>
              <w:ind w:left="113" w:right="113"/>
              <w:jc w:val="center"/>
              <w:rPr>
                <w:rFonts w:eastAsia="Times New Roman" w:cs="Times New Roman"/>
                <w:sz w:val="24"/>
                <w:highlight w:val="yellow"/>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tc>
        <w:tc>
          <w:tcPr>
            <w:tcW w:w="878" w:type="dxa"/>
            <w:gridSpan w:val="3"/>
            <w:tcBorders>
              <w:top w:val="nil"/>
            </w:tcBorders>
          </w:tcPr>
          <w:p w:rsidR="004C5061" w:rsidRPr="00312461" w:rsidRDefault="004C5061" w:rsidP="00DF0364">
            <w:pPr>
              <w:spacing w:before="120" w:after="120" w:line="240" w:lineRule="auto"/>
              <w:ind w:left="113" w:right="113"/>
              <w:jc w:val="both"/>
              <w:rPr>
                <w:rFonts w:eastAsia="Times New Roman" w:cs="Times New Roman"/>
                <w:sz w:val="24"/>
                <w:highlight w:val="yellow"/>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tc>
        <w:tc>
          <w:tcPr>
            <w:tcW w:w="1037" w:type="dxa"/>
            <w:gridSpan w:val="2"/>
            <w:tcBorders>
              <w:top w:val="nil"/>
            </w:tcBorders>
            <w:shd w:val="clear" w:color="auto" w:fill="auto"/>
          </w:tcPr>
          <w:p w:rsidR="004C5061" w:rsidRPr="00312461" w:rsidRDefault="004C5061" w:rsidP="00DF0364">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10"/>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9E6216" w:rsidRPr="007038E4" w:rsidTr="009E6216">
        <w:trPr>
          <w:gridAfter w:val="1"/>
          <w:wAfter w:w="61" w:type="dxa"/>
        </w:trPr>
        <w:tc>
          <w:tcPr>
            <w:tcW w:w="9765" w:type="dxa"/>
            <w:gridSpan w:val="7"/>
            <w:tcBorders>
              <w:top w:val="single" w:sz="2" w:space="0" w:color="000000"/>
              <w:left w:val="single" w:sz="2" w:space="0" w:color="000000"/>
              <w:bottom w:val="single" w:sz="4" w:space="0" w:color="auto"/>
              <w:right w:val="single" w:sz="4" w:space="0" w:color="auto"/>
            </w:tcBorders>
          </w:tcPr>
          <w:p w:rsidR="009E6216" w:rsidRPr="004B3133" w:rsidRDefault="009E6216" w:rsidP="00CB26CE">
            <w:pPr>
              <w:spacing w:before="240" w:line="240" w:lineRule="auto"/>
              <w:ind w:left="107" w:right="193"/>
              <w:rPr>
                <w:rFonts w:eastAsia="Times New Roman"/>
                <w:b/>
              </w:rPr>
            </w:pPr>
            <w:r>
              <w:rPr>
                <w:b/>
              </w:rPr>
              <w:t>3. Rotatie (art. 22 § 3 van het wet van 7 december 2016)</w:t>
            </w:r>
          </w:p>
        </w:tc>
      </w:tr>
      <w:tr w:rsidR="009E6216" w:rsidRPr="007038E4" w:rsidTr="009E6216">
        <w:trPr>
          <w:gridAfter w:val="1"/>
          <w:wAfter w:w="61" w:type="dxa"/>
        </w:trPr>
        <w:tc>
          <w:tcPr>
            <w:tcW w:w="7072" w:type="dxa"/>
            <w:gridSpan w:val="2"/>
            <w:tcBorders>
              <w:top w:val="single" w:sz="4" w:space="0" w:color="auto"/>
              <w:left w:val="single" w:sz="2" w:space="0" w:color="000000"/>
              <w:bottom w:val="single" w:sz="4" w:space="0" w:color="auto"/>
              <w:right w:val="single" w:sz="4" w:space="0" w:color="auto"/>
            </w:tcBorders>
            <w:shd w:val="clear" w:color="auto" w:fill="auto"/>
          </w:tcPr>
          <w:p w:rsidR="009E6216" w:rsidRDefault="009E6216" w:rsidP="00CB26CE">
            <w:pPr>
              <w:tabs>
                <w:tab w:val="left" w:pos="555"/>
              </w:tabs>
              <w:spacing w:line="240" w:lineRule="auto"/>
              <w:ind w:left="555" w:right="193" w:hanging="425"/>
              <w:jc w:val="both"/>
            </w:pPr>
            <w:r>
              <w:t>3.1. In het geval van een wettelijke controle bij een organisatie van openbaar belang of bij de belangrijke Belgische of buitenlandse dochterondernemingen van een dergelijke organisatie naar Belgisch recht wanneer deze geconsolideerde jaarrekeningen opstelt, heeft de commissaris ten minste de vaste vertegenwoordiger(s) van het bedrijfsrevisorenkantoor vervangen, of, wanneer het mandaat door een commissaris-natuurlijk persoon wordt uitgeoefend,</w:t>
            </w:r>
            <w:r w:rsidR="00041C01">
              <w:t xml:space="preserve"> </w:t>
            </w:r>
            <w:r>
              <w:t xml:space="preserve">heeft hij het mandaat aan een confrater overgedragen na uiterlijk zes jaar na zijn (hun) benoeming? </w:t>
            </w:r>
          </w:p>
          <w:p w:rsidR="009E6216" w:rsidRPr="00D70350" w:rsidRDefault="009E6216" w:rsidP="00CB26CE">
            <w:pPr>
              <w:tabs>
                <w:tab w:val="left" w:pos="555"/>
              </w:tabs>
              <w:spacing w:line="240" w:lineRule="auto"/>
              <w:ind w:left="555" w:right="193" w:hanging="425"/>
              <w:jc w:val="both"/>
            </w:pPr>
            <w:r>
              <w:t>3.2. Werd in dezelfde context het verbod voor de vervangen bedrijfsrevisor(en) om vóór een periode van minstens drie jaar na het staken van deelname opnieuw deel te nemen aan de wettelijke controle van de gecontroleerde entiteit, nageleefd?</w:t>
            </w:r>
          </w:p>
          <w:p w:rsidR="009E6216" w:rsidRPr="007038E4" w:rsidRDefault="009E6216" w:rsidP="00CB26CE">
            <w:pPr>
              <w:tabs>
                <w:tab w:val="left" w:pos="555"/>
              </w:tabs>
              <w:spacing w:line="240" w:lineRule="auto"/>
              <w:ind w:left="555" w:right="193" w:hanging="425"/>
              <w:jc w:val="both"/>
              <w:rPr>
                <w:rFonts w:eastAsia="Times New Roman" w:cs="Times New Roman"/>
                <w:sz w:val="24"/>
              </w:rPr>
            </w:pPr>
            <w:r>
              <w:t xml:space="preserve">3.3. Werd het verbod om </w:t>
            </w:r>
            <w:proofErr w:type="spellStart"/>
            <w:r>
              <w:t>revisorale</w:t>
            </w:r>
            <w:proofErr w:type="spellEnd"/>
            <w:r>
              <w:t xml:space="preserve"> opdrachten uit te voeren wanneer de bedrijfsrevisor zich in één van de volgende omstandigheden bevindt: het uitoefenen van de functie van bediende, het rechtstreeks of onrechtstreeks uitoefenen van een handelsactiviteit, het bekleden van de functie van minister of staatssecretaris, nageleefd?.</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9E6216" w:rsidRPr="004B3133" w:rsidRDefault="009E6216" w:rsidP="00CB26CE">
            <w:pPr>
              <w:spacing w:before="120" w:after="120" w:line="240" w:lineRule="auto"/>
              <w:ind w:left="113" w:right="113"/>
              <w:jc w:val="center"/>
              <w:rPr>
                <w:rFonts w:eastAsia="Times New Roman" w:cs="Times New Roman"/>
                <w:sz w:val="24"/>
                <w:highlight w:val="yellow"/>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tc>
        <w:tc>
          <w:tcPr>
            <w:tcW w:w="851" w:type="dxa"/>
            <w:tcBorders>
              <w:top w:val="single" w:sz="4" w:space="0" w:color="auto"/>
              <w:left w:val="single" w:sz="4" w:space="0" w:color="auto"/>
              <w:bottom w:val="single" w:sz="4" w:space="0" w:color="auto"/>
              <w:right w:val="single" w:sz="4" w:space="0" w:color="auto"/>
            </w:tcBorders>
          </w:tcPr>
          <w:p w:rsidR="009E6216" w:rsidRPr="004B3133" w:rsidRDefault="009E6216" w:rsidP="00CB26CE">
            <w:pPr>
              <w:spacing w:before="120" w:after="120" w:line="240" w:lineRule="auto"/>
              <w:ind w:left="113" w:right="113"/>
              <w:jc w:val="both"/>
              <w:rPr>
                <w:rFonts w:eastAsia="Times New Roman" w:cs="Times New Roman"/>
                <w:sz w:val="24"/>
                <w:highlight w:val="yellow"/>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9E6216" w:rsidRPr="00312461" w:rsidRDefault="009E6216" w:rsidP="00CB26CE">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4C5061" w:rsidRPr="007038E4" w:rsidTr="009E6216">
        <w:tc>
          <w:tcPr>
            <w:tcW w:w="9826" w:type="dxa"/>
            <w:gridSpan w:val="8"/>
            <w:tcBorders>
              <w:top w:val="single" w:sz="2" w:space="0" w:color="000000"/>
              <w:left w:val="single" w:sz="2" w:space="0" w:color="000000"/>
              <w:bottom w:val="single" w:sz="4" w:space="0" w:color="auto"/>
              <w:right w:val="single" w:sz="4" w:space="0" w:color="auto"/>
            </w:tcBorders>
          </w:tcPr>
          <w:p w:rsidR="004C5061" w:rsidRPr="004B3133" w:rsidRDefault="009E6216" w:rsidP="00DF0364">
            <w:pPr>
              <w:spacing w:before="240" w:line="240" w:lineRule="auto"/>
              <w:ind w:left="107" w:right="193"/>
              <w:rPr>
                <w:rFonts w:eastAsia="Times New Roman"/>
                <w:b/>
              </w:rPr>
            </w:pPr>
            <w:r>
              <w:rPr>
                <w:b/>
              </w:rPr>
              <w:t>4</w:t>
            </w:r>
            <w:r w:rsidR="004C5061">
              <w:rPr>
                <w:b/>
              </w:rPr>
              <w:t>. Algemene aspecten</w:t>
            </w:r>
          </w:p>
        </w:tc>
      </w:tr>
      <w:tr w:rsidR="004C5061" w:rsidRPr="007038E4" w:rsidTr="009E6216">
        <w:tc>
          <w:tcPr>
            <w:tcW w:w="9826" w:type="dxa"/>
            <w:gridSpan w:val="8"/>
            <w:tcBorders>
              <w:top w:val="single" w:sz="2" w:space="0" w:color="000000"/>
              <w:left w:val="single" w:sz="2" w:space="0" w:color="000000"/>
              <w:bottom w:val="single" w:sz="4" w:space="0" w:color="auto"/>
              <w:right w:val="single" w:sz="4" w:space="0" w:color="auto"/>
            </w:tcBorders>
          </w:tcPr>
          <w:p w:rsidR="004C5061" w:rsidRPr="00830044" w:rsidRDefault="009E6216" w:rsidP="00DF0364">
            <w:pPr>
              <w:spacing w:before="120" w:after="120" w:line="240" w:lineRule="auto"/>
              <w:ind w:left="107" w:right="193"/>
              <w:jc w:val="both"/>
              <w:rPr>
                <w:rFonts w:cs="Times New Roman"/>
                <w:sz w:val="24"/>
              </w:rPr>
            </w:pPr>
            <w:r>
              <w:t>4</w:t>
            </w:r>
            <w:r w:rsidR="004C5061">
              <w:t>.1. Overleg met de opdrachtgerichte kwaliteitsbeoordelaar(EQCR)</w:t>
            </w:r>
          </w:p>
        </w:tc>
      </w:tr>
      <w:tr w:rsidR="004C5061" w:rsidRPr="007038E4" w:rsidTr="009E6216">
        <w:tc>
          <w:tcPr>
            <w:tcW w:w="7032" w:type="dxa"/>
            <w:tcBorders>
              <w:top w:val="single" w:sz="4" w:space="0" w:color="auto"/>
              <w:left w:val="single" w:sz="2" w:space="0" w:color="000000"/>
              <w:bottom w:val="single" w:sz="4" w:space="0" w:color="auto"/>
              <w:right w:val="single" w:sz="4" w:space="0" w:color="auto"/>
            </w:tcBorders>
            <w:shd w:val="clear" w:color="auto" w:fill="auto"/>
          </w:tcPr>
          <w:p w:rsidR="004C5061" w:rsidRPr="007038E4" w:rsidRDefault="004C5061" w:rsidP="00DF0364">
            <w:pPr>
              <w:spacing w:before="120" w:after="120" w:line="240" w:lineRule="auto"/>
              <w:ind w:left="113" w:right="193"/>
              <w:jc w:val="both"/>
              <w:rPr>
                <w:rFonts w:eastAsia="Times New Roman" w:cs="Times New Roman"/>
                <w:sz w:val="24"/>
              </w:rPr>
            </w:pPr>
            <w:r>
              <w:t>Indien er op één van bovenstaande punten significante onafhankelijkheidsrisico’s aanwezig zijn, dient contact te worden opgenomen met de opdrachtgerichte kwaliteitsbeoordelaar (EQCR). Werd dit gedaan?</w:t>
            </w:r>
          </w:p>
        </w:tc>
        <w:tc>
          <w:tcPr>
            <w:tcW w:w="879" w:type="dxa"/>
            <w:gridSpan w:val="2"/>
            <w:tcBorders>
              <w:top w:val="single" w:sz="4" w:space="0" w:color="auto"/>
              <w:left w:val="single" w:sz="4" w:space="0" w:color="auto"/>
              <w:bottom w:val="single" w:sz="4" w:space="0" w:color="auto"/>
              <w:right w:val="single" w:sz="4" w:space="0" w:color="auto"/>
            </w:tcBorders>
            <w:shd w:val="clear" w:color="auto" w:fill="auto"/>
          </w:tcPr>
          <w:p w:rsidR="004C5061" w:rsidRPr="004B3133" w:rsidRDefault="004C5061" w:rsidP="00DF0364">
            <w:pPr>
              <w:spacing w:before="120" w:after="120" w:line="240" w:lineRule="auto"/>
              <w:ind w:left="113" w:right="113"/>
              <w:jc w:val="center"/>
              <w:rPr>
                <w:rFonts w:eastAsia="Times New Roman" w:cs="Times New Roman"/>
                <w:sz w:val="24"/>
                <w:highlight w:val="yellow"/>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tc>
        <w:tc>
          <w:tcPr>
            <w:tcW w:w="878" w:type="dxa"/>
            <w:gridSpan w:val="3"/>
            <w:tcBorders>
              <w:top w:val="single" w:sz="4" w:space="0" w:color="auto"/>
              <w:left w:val="single" w:sz="4" w:space="0" w:color="auto"/>
              <w:bottom w:val="single" w:sz="4" w:space="0" w:color="auto"/>
              <w:right w:val="single" w:sz="4" w:space="0" w:color="auto"/>
            </w:tcBorders>
          </w:tcPr>
          <w:p w:rsidR="004C5061" w:rsidRPr="004B3133" w:rsidRDefault="004C5061" w:rsidP="00DF0364">
            <w:pPr>
              <w:spacing w:before="120" w:after="120" w:line="240" w:lineRule="auto"/>
              <w:ind w:left="113" w:right="113"/>
              <w:jc w:val="both"/>
              <w:rPr>
                <w:rFonts w:eastAsia="Times New Roman" w:cs="Times New Roman"/>
                <w:sz w:val="24"/>
                <w:highlight w:val="yellow"/>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tc>
        <w:tc>
          <w:tcPr>
            <w:tcW w:w="1037" w:type="dxa"/>
            <w:gridSpan w:val="2"/>
            <w:tcBorders>
              <w:top w:val="single" w:sz="4" w:space="0" w:color="auto"/>
              <w:left w:val="single" w:sz="4" w:space="0" w:color="auto"/>
              <w:bottom w:val="single" w:sz="4" w:space="0" w:color="auto"/>
              <w:right w:val="single" w:sz="4" w:space="0" w:color="auto"/>
            </w:tcBorders>
            <w:shd w:val="clear" w:color="auto" w:fill="auto"/>
          </w:tcPr>
          <w:p w:rsidR="004C5061" w:rsidRPr="00312461" w:rsidRDefault="004C5061" w:rsidP="00DF0364">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4C5061" w:rsidRPr="007038E4" w:rsidTr="009E6216">
        <w:tc>
          <w:tcPr>
            <w:tcW w:w="9826" w:type="dxa"/>
            <w:gridSpan w:val="8"/>
            <w:tcBorders>
              <w:top w:val="single" w:sz="2" w:space="0" w:color="000000"/>
              <w:left w:val="single" w:sz="2" w:space="0" w:color="000000"/>
              <w:bottom w:val="single" w:sz="4" w:space="0" w:color="auto"/>
              <w:right w:val="single" w:sz="4" w:space="0" w:color="auto"/>
            </w:tcBorders>
          </w:tcPr>
          <w:p w:rsidR="004C5061" w:rsidRPr="00830044" w:rsidRDefault="009E6216" w:rsidP="00DF0364">
            <w:pPr>
              <w:spacing w:before="120" w:after="120" w:line="240" w:lineRule="auto"/>
              <w:ind w:left="107" w:right="193"/>
              <w:jc w:val="both"/>
              <w:rPr>
                <w:rFonts w:cs="Times New Roman"/>
                <w:sz w:val="24"/>
              </w:rPr>
            </w:pPr>
            <w:r>
              <w:t>4</w:t>
            </w:r>
            <w:r w:rsidR="004C5061">
              <w:t>.2. Onderbouwing van de aanzienlijke bedreigingen voor de onafhankelijkheid van de bedrijfsrevisor (art. 12, § 5 van de wet van 7 december 2016)</w:t>
            </w:r>
          </w:p>
        </w:tc>
      </w:tr>
      <w:tr w:rsidR="004C5061" w:rsidRPr="007038E4" w:rsidTr="009E6216">
        <w:tc>
          <w:tcPr>
            <w:tcW w:w="7032" w:type="dxa"/>
            <w:tcBorders>
              <w:top w:val="single" w:sz="4" w:space="0" w:color="auto"/>
              <w:left w:val="single" w:sz="2" w:space="0" w:color="000000"/>
              <w:bottom w:val="single" w:sz="4" w:space="0" w:color="auto"/>
              <w:right w:val="single" w:sz="4" w:space="0" w:color="auto"/>
            </w:tcBorders>
            <w:shd w:val="clear" w:color="auto" w:fill="auto"/>
          </w:tcPr>
          <w:p w:rsidR="004C5061" w:rsidRPr="007038E4" w:rsidRDefault="004C5061" w:rsidP="00DF0364">
            <w:pPr>
              <w:spacing w:before="120" w:after="120" w:line="240" w:lineRule="auto"/>
              <w:ind w:left="113" w:right="193"/>
              <w:jc w:val="both"/>
              <w:rPr>
                <w:rFonts w:eastAsia="Times New Roman" w:cs="Times New Roman"/>
                <w:sz w:val="24"/>
              </w:rPr>
            </w:pPr>
            <w:r>
              <w:t>Heeft de bedrijfsrevisor in zijn werkdocumenten alle aanzienlijke bedreigingen voor zijn onafhankelijkheid en de veiligheidsmaatregelen die zijn getroffen om deze bedreigingen in te perken, onderbouwd?</w:t>
            </w:r>
          </w:p>
        </w:tc>
        <w:tc>
          <w:tcPr>
            <w:tcW w:w="879" w:type="dxa"/>
            <w:gridSpan w:val="2"/>
            <w:tcBorders>
              <w:top w:val="single" w:sz="4" w:space="0" w:color="auto"/>
              <w:left w:val="single" w:sz="4" w:space="0" w:color="auto"/>
              <w:bottom w:val="single" w:sz="4" w:space="0" w:color="auto"/>
              <w:right w:val="single" w:sz="4" w:space="0" w:color="auto"/>
            </w:tcBorders>
            <w:shd w:val="clear" w:color="auto" w:fill="auto"/>
          </w:tcPr>
          <w:p w:rsidR="004C5061" w:rsidRPr="004B3133" w:rsidRDefault="004C5061" w:rsidP="00DF0364">
            <w:pPr>
              <w:spacing w:before="120" w:after="120" w:line="240" w:lineRule="auto"/>
              <w:ind w:left="113" w:right="113"/>
              <w:jc w:val="center"/>
              <w:rPr>
                <w:rFonts w:eastAsia="Times New Roman" w:cs="Times New Roman"/>
                <w:sz w:val="24"/>
                <w:highlight w:val="yellow"/>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tc>
        <w:tc>
          <w:tcPr>
            <w:tcW w:w="878" w:type="dxa"/>
            <w:gridSpan w:val="3"/>
            <w:tcBorders>
              <w:top w:val="single" w:sz="4" w:space="0" w:color="auto"/>
              <w:left w:val="single" w:sz="4" w:space="0" w:color="auto"/>
              <w:bottom w:val="single" w:sz="4" w:space="0" w:color="auto"/>
              <w:right w:val="single" w:sz="4" w:space="0" w:color="auto"/>
            </w:tcBorders>
          </w:tcPr>
          <w:p w:rsidR="004C5061" w:rsidRPr="004B3133" w:rsidRDefault="004C5061" w:rsidP="00DF0364">
            <w:pPr>
              <w:spacing w:before="120" w:after="120" w:line="240" w:lineRule="auto"/>
              <w:ind w:left="113" w:right="113"/>
              <w:jc w:val="both"/>
              <w:rPr>
                <w:rFonts w:eastAsia="Times New Roman" w:cs="Times New Roman"/>
                <w:sz w:val="24"/>
                <w:highlight w:val="yellow"/>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tc>
        <w:tc>
          <w:tcPr>
            <w:tcW w:w="1037" w:type="dxa"/>
            <w:gridSpan w:val="2"/>
            <w:tcBorders>
              <w:top w:val="single" w:sz="4" w:space="0" w:color="auto"/>
              <w:left w:val="single" w:sz="4" w:space="0" w:color="auto"/>
              <w:bottom w:val="single" w:sz="4" w:space="0" w:color="auto"/>
              <w:right w:val="single" w:sz="4" w:space="0" w:color="auto"/>
            </w:tcBorders>
            <w:shd w:val="clear" w:color="auto" w:fill="auto"/>
          </w:tcPr>
          <w:p w:rsidR="004C5061" w:rsidRPr="00312461" w:rsidRDefault="004C5061" w:rsidP="00DF0364">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bl>
    <w:p w:rsidR="004C5061" w:rsidRPr="007038E4" w:rsidRDefault="004C5061" w:rsidP="004C5061">
      <w:pPr>
        <w:spacing w:after="120" w:line="240" w:lineRule="auto"/>
        <w:jc w:val="both"/>
        <w:rPr>
          <w:rFonts w:eastAsia="Times New Roman" w:cs="Times New Roman"/>
          <w:lang w:eastAsia="fr-BE"/>
        </w:rPr>
      </w:pPr>
    </w:p>
    <w:p w:rsidR="004C5061" w:rsidRDefault="004C5061" w:rsidP="004C5061">
      <w:pPr>
        <w:spacing w:after="120" w:line="240" w:lineRule="auto"/>
        <w:jc w:val="both"/>
        <w:rPr>
          <w:rFonts w:eastAsia="Times New Roman" w:cs="Times New Roman"/>
          <w:lang w:eastAsia="fr-BE"/>
        </w:rPr>
      </w:pPr>
      <w:r>
        <w:t xml:space="preserve">Conclusie: </w:t>
      </w:r>
      <w:r w:rsidRPr="00312461">
        <w:rPr>
          <w:rFonts w:eastAsia="Times New Roman" w:cs="Times New Roman"/>
          <w:highlight w:val="yellow"/>
          <w:lang w:eastAsia="fr-BE"/>
        </w:rPr>
        <w:fldChar w:fldCharType="begin">
          <w:ffData>
            <w:name w:val="Texte119"/>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rsidR="004C5061" w:rsidRDefault="004C5061" w:rsidP="004C5061">
      <w:pPr>
        <w:spacing w:after="120" w:line="240" w:lineRule="auto"/>
        <w:jc w:val="both"/>
        <w:rPr>
          <w:rFonts w:eastAsia="Times New Roman" w:cs="Times New Roman"/>
          <w:lang w:eastAsia="fr-BE"/>
        </w:rPr>
      </w:pPr>
    </w:p>
    <w:p w:rsidR="004C5061" w:rsidRDefault="004C5061" w:rsidP="004C5061">
      <w:pPr>
        <w:spacing w:after="120" w:line="240" w:lineRule="auto"/>
        <w:jc w:val="both"/>
        <w:rPr>
          <w:rFonts w:eastAsia="Times New Roman" w:cs="Times New Roman"/>
        </w:rPr>
      </w:pPr>
      <w:r>
        <w:t xml:space="preserve">Door ondertekening van dit document bevestigt de vennoot de naleving van de vereiste onafhankelijkheidsregels voor of tijdens de opdracht, naargelang het geval. </w:t>
      </w:r>
    </w:p>
    <w:p w:rsidR="004C5061" w:rsidRPr="007038E4" w:rsidRDefault="004C5061" w:rsidP="004C5061">
      <w:pPr>
        <w:spacing w:after="120" w:line="240" w:lineRule="auto"/>
        <w:jc w:val="both"/>
        <w:rPr>
          <w:rFonts w:eastAsia="Times New Roman" w:cs="Times New Roman"/>
          <w:lang w:eastAsia="fr-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2"/>
        <w:gridCol w:w="2465"/>
        <w:gridCol w:w="1342"/>
        <w:gridCol w:w="2082"/>
      </w:tblGrid>
      <w:tr w:rsidR="004C5061" w:rsidRPr="007038E4" w:rsidTr="00DF0364">
        <w:tc>
          <w:tcPr>
            <w:tcW w:w="3172" w:type="dxa"/>
            <w:shd w:val="clear" w:color="auto" w:fill="auto"/>
          </w:tcPr>
          <w:p w:rsidR="004C5061" w:rsidRPr="007038E4" w:rsidRDefault="004C5061" w:rsidP="00DF0364">
            <w:pPr>
              <w:spacing w:before="120" w:after="120" w:line="240" w:lineRule="auto"/>
              <w:jc w:val="center"/>
              <w:rPr>
                <w:rFonts w:eastAsia="Times New Roman" w:cs="Times New Roman"/>
                <w:b/>
              </w:rPr>
            </w:pPr>
            <w:r>
              <w:rPr>
                <w:b/>
              </w:rPr>
              <w:lastRenderedPageBreak/>
              <w:t>Functie</w:t>
            </w:r>
          </w:p>
        </w:tc>
        <w:tc>
          <w:tcPr>
            <w:tcW w:w="2465" w:type="dxa"/>
            <w:shd w:val="clear" w:color="auto" w:fill="auto"/>
          </w:tcPr>
          <w:p w:rsidR="004C5061" w:rsidRPr="007038E4" w:rsidRDefault="004C5061" w:rsidP="00DF0364">
            <w:pPr>
              <w:spacing w:before="120" w:after="120" w:line="240" w:lineRule="auto"/>
              <w:jc w:val="center"/>
              <w:rPr>
                <w:rFonts w:eastAsia="Times New Roman" w:cs="Times New Roman"/>
                <w:b/>
              </w:rPr>
            </w:pPr>
            <w:r>
              <w:rPr>
                <w:b/>
              </w:rPr>
              <w:t>Naam</w:t>
            </w:r>
          </w:p>
        </w:tc>
        <w:tc>
          <w:tcPr>
            <w:tcW w:w="1342" w:type="dxa"/>
            <w:shd w:val="clear" w:color="auto" w:fill="auto"/>
          </w:tcPr>
          <w:p w:rsidR="004C5061" w:rsidRPr="007038E4" w:rsidRDefault="004C5061" w:rsidP="00DF0364">
            <w:pPr>
              <w:spacing w:before="120" w:after="120" w:line="240" w:lineRule="auto"/>
              <w:jc w:val="center"/>
              <w:rPr>
                <w:rFonts w:eastAsia="Times New Roman" w:cs="Times New Roman"/>
                <w:b/>
              </w:rPr>
            </w:pPr>
            <w:r>
              <w:rPr>
                <w:b/>
              </w:rPr>
              <w:t>Datum</w:t>
            </w:r>
          </w:p>
        </w:tc>
        <w:tc>
          <w:tcPr>
            <w:tcW w:w="2082" w:type="dxa"/>
            <w:shd w:val="clear" w:color="auto" w:fill="auto"/>
          </w:tcPr>
          <w:p w:rsidR="004C5061" w:rsidRPr="007038E4" w:rsidRDefault="004C5061" w:rsidP="00DF0364">
            <w:pPr>
              <w:spacing w:before="120" w:after="120" w:line="240" w:lineRule="auto"/>
              <w:jc w:val="center"/>
              <w:rPr>
                <w:rFonts w:eastAsia="Times New Roman" w:cs="Times New Roman"/>
                <w:b/>
              </w:rPr>
            </w:pPr>
            <w:r>
              <w:rPr>
                <w:b/>
              </w:rPr>
              <w:t>Handtekening</w:t>
            </w:r>
          </w:p>
        </w:tc>
      </w:tr>
      <w:tr w:rsidR="004C5061" w:rsidRPr="007038E4" w:rsidTr="00DF0364">
        <w:tc>
          <w:tcPr>
            <w:tcW w:w="3172" w:type="dxa"/>
            <w:shd w:val="clear" w:color="auto" w:fill="auto"/>
          </w:tcPr>
          <w:p w:rsidR="004C5061" w:rsidRPr="007038E4" w:rsidRDefault="004C5061" w:rsidP="00DF0364">
            <w:pPr>
              <w:spacing w:before="120" w:after="120" w:line="240" w:lineRule="auto"/>
              <w:jc w:val="both"/>
              <w:rPr>
                <w:rFonts w:eastAsia="Times New Roman"/>
              </w:rPr>
            </w:pPr>
            <w:r>
              <w:t xml:space="preserve">Voor de opdracht </w:t>
            </w:r>
            <w:proofErr w:type="spellStart"/>
            <w:r>
              <w:t>verantwoor-delijke</w:t>
            </w:r>
            <w:proofErr w:type="spellEnd"/>
            <w:r>
              <w:t xml:space="preserve"> vennoot (of andere bedrijfsrevisor)</w:t>
            </w:r>
          </w:p>
        </w:tc>
        <w:tc>
          <w:tcPr>
            <w:tcW w:w="2465" w:type="dxa"/>
            <w:shd w:val="clear" w:color="auto" w:fill="auto"/>
          </w:tcPr>
          <w:p w:rsidR="004C5061" w:rsidRPr="00312461" w:rsidRDefault="004C5061" w:rsidP="00DF0364">
            <w:pPr>
              <w:spacing w:before="120" w:after="120" w:line="240" w:lineRule="auto"/>
              <w:jc w:val="both"/>
              <w:rPr>
                <w:rFonts w:eastAsia="Times New Roman" w:cs="Times New Roman"/>
                <w:highlight w:val="yellow"/>
              </w:rPr>
            </w:pPr>
            <w:r w:rsidRPr="00312461">
              <w:rPr>
                <w:rFonts w:eastAsia="Times New Roman"/>
                <w:highlight w:val="yellow"/>
                <w:lang w:eastAsia="fr-BE"/>
              </w:rPr>
              <w:fldChar w:fldCharType="begin">
                <w:ffData>
                  <w:name w:val="Texte891"/>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c>
          <w:tcPr>
            <w:tcW w:w="1342" w:type="dxa"/>
            <w:shd w:val="clear" w:color="auto" w:fill="auto"/>
          </w:tcPr>
          <w:p w:rsidR="004C5061" w:rsidRPr="00312461" w:rsidRDefault="004C5061" w:rsidP="00DF0364">
            <w:pPr>
              <w:spacing w:before="120" w:after="120" w:line="240" w:lineRule="auto"/>
              <w:jc w:val="both"/>
              <w:rPr>
                <w:rFonts w:eastAsia="Times New Roman" w:cs="Times New Roman"/>
                <w:highlight w:val="yellow"/>
              </w:rPr>
            </w:pPr>
            <w:r w:rsidRPr="00312461">
              <w:rPr>
                <w:rFonts w:eastAsia="Times New Roman"/>
                <w:highlight w:val="yellow"/>
                <w:lang w:eastAsia="fr-BE"/>
              </w:rPr>
              <w:fldChar w:fldCharType="begin">
                <w:ffData>
                  <w:name w:val="Texte891"/>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c>
          <w:tcPr>
            <w:tcW w:w="2082" w:type="dxa"/>
            <w:shd w:val="clear" w:color="auto" w:fill="auto"/>
          </w:tcPr>
          <w:p w:rsidR="004C5061" w:rsidRPr="00312461" w:rsidRDefault="004C5061" w:rsidP="00DF0364">
            <w:pPr>
              <w:spacing w:before="120" w:after="120" w:line="240" w:lineRule="auto"/>
              <w:jc w:val="both"/>
              <w:rPr>
                <w:rFonts w:eastAsia="Times New Roman" w:cs="Times New Roman"/>
                <w:highlight w:val="yellow"/>
              </w:rPr>
            </w:pPr>
            <w:r w:rsidRPr="00312461">
              <w:rPr>
                <w:rFonts w:eastAsia="Times New Roman"/>
                <w:highlight w:val="yellow"/>
                <w:lang w:eastAsia="fr-BE"/>
              </w:rPr>
              <w:fldChar w:fldCharType="begin">
                <w:ffData>
                  <w:name w:val="Texte891"/>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r>
      <w:tr w:rsidR="004C5061" w:rsidRPr="007038E4" w:rsidTr="00DF0364">
        <w:tc>
          <w:tcPr>
            <w:tcW w:w="3172" w:type="dxa"/>
            <w:shd w:val="clear" w:color="auto" w:fill="auto"/>
          </w:tcPr>
          <w:p w:rsidR="004C5061" w:rsidRPr="007038E4" w:rsidRDefault="004C5061" w:rsidP="00DF0364">
            <w:pPr>
              <w:spacing w:before="120" w:after="120" w:line="240" w:lineRule="auto"/>
              <w:jc w:val="both"/>
              <w:rPr>
                <w:rFonts w:eastAsia="Times New Roman"/>
              </w:rPr>
            </w:pPr>
            <w:r>
              <w:t>[In voorkomend geval:] Vennoot (of andere bedrijfsrevisor) belast met de opdrachtgerichte kwaliteitsbeoordeling (EQCR)</w:t>
            </w:r>
          </w:p>
        </w:tc>
        <w:tc>
          <w:tcPr>
            <w:tcW w:w="2465" w:type="dxa"/>
            <w:shd w:val="clear" w:color="auto" w:fill="auto"/>
          </w:tcPr>
          <w:p w:rsidR="004C5061" w:rsidRPr="00312461" w:rsidRDefault="004C5061" w:rsidP="00DF0364">
            <w:pPr>
              <w:spacing w:before="120" w:after="120" w:line="240" w:lineRule="auto"/>
              <w:jc w:val="both"/>
              <w:rPr>
                <w:rFonts w:eastAsia="Times New Roman" w:cs="Times New Roman"/>
                <w:highlight w:val="yellow"/>
              </w:rPr>
            </w:pPr>
            <w:r w:rsidRPr="00312461">
              <w:rPr>
                <w:rFonts w:eastAsia="Times New Roman"/>
                <w:highlight w:val="yellow"/>
                <w:lang w:eastAsia="fr-BE"/>
              </w:rPr>
              <w:fldChar w:fldCharType="begin">
                <w:ffData>
                  <w:name w:val="Texte891"/>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c>
          <w:tcPr>
            <w:tcW w:w="1342" w:type="dxa"/>
            <w:shd w:val="clear" w:color="auto" w:fill="auto"/>
          </w:tcPr>
          <w:p w:rsidR="004C5061" w:rsidRPr="00312461" w:rsidRDefault="004C5061" w:rsidP="00DF0364">
            <w:pPr>
              <w:spacing w:before="120" w:after="120" w:line="240" w:lineRule="auto"/>
              <w:jc w:val="both"/>
              <w:rPr>
                <w:rFonts w:eastAsia="Times New Roman" w:cs="Times New Roman"/>
                <w:highlight w:val="yellow"/>
              </w:rPr>
            </w:pPr>
            <w:r w:rsidRPr="00312461">
              <w:rPr>
                <w:rFonts w:eastAsia="Times New Roman"/>
                <w:highlight w:val="yellow"/>
                <w:lang w:eastAsia="fr-BE"/>
              </w:rPr>
              <w:fldChar w:fldCharType="begin">
                <w:ffData>
                  <w:name w:val="Texte891"/>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c>
          <w:tcPr>
            <w:tcW w:w="2082" w:type="dxa"/>
            <w:shd w:val="clear" w:color="auto" w:fill="auto"/>
          </w:tcPr>
          <w:p w:rsidR="004C5061" w:rsidRPr="00312461" w:rsidRDefault="004C5061" w:rsidP="00DF0364">
            <w:pPr>
              <w:spacing w:before="120" w:after="120" w:line="240" w:lineRule="auto"/>
              <w:jc w:val="both"/>
              <w:rPr>
                <w:rFonts w:eastAsia="Times New Roman" w:cs="Times New Roman"/>
                <w:highlight w:val="yellow"/>
              </w:rPr>
            </w:pPr>
            <w:r w:rsidRPr="00312461">
              <w:rPr>
                <w:rFonts w:eastAsia="Times New Roman"/>
                <w:highlight w:val="yellow"/>
                <w:lang w:eastAsia="fr-BE"/>
              </w:rPr>
              <w:fldChar w:fldCharType="begin">
                <w:ffData>
                  <w:name w:val="Texte891"/>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r>
    </w:tbl>
    <w:p w:rsidR="004C5061" w:rsidRPr="007038E4" w:rsidRDefault="004C5061" w:rsidP="004C5061">
      <w:pPr>
        <w:spacing w:line="240" w:lineRule="auto"/>
        <w:rPr>
          <w:i/>
          <w:iCs/>
          <w:lang w:eastAsia="fr-BE"/>
        </w:rPr>
      </w:pPr>
    </w:p>
    <w:p w:rsidR="00CA4DEE" w:rsidRDefault="004C5061" w:rsidP="00290E2E">
      <w:pPr>
        <w:spacing w:line="240" w:lineRule="auto"/>
      </w:pPr>
      <w:r>
        <w:rPr>
          <w:i/>
        </w:rPr>
        <w:t>Bron (te vermelden bij elk gebruik voor enig ander doel dan dat van een bedrijfsrevisor in het kader van de uitoefening van zijn opdracht):</w:t>
      </w:r>
      <w:r>
        <w:rPr>
          <w:i/>
          <w:iCs/>
        </w:rPr>
        <w:t xml:space="preserve"> Informatiecentrum voor het Bedrijfsrevisoraat (ICCI)</w:t>
      </w:r>
    </w:p>
    <w:sectPr w:rsidR="00CA4DEE" w:rsidSect="00590FE9">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355" w:rsidRDefault="00102355" w:rsidP="00290E2E">
      <w:pPr>
        <w:spacing w:after="0" w:line="240" w:lineRule="auto"/>
      </w:pPr>
      <w:r>
        <w:separator/>
      </w:r>
    </w:p>
  </w:endnote>
  <w:endnote w:type="continuationSeparator" w:id="0">
    <w:p w:rsidR="00102355" w:rsidRDefault="00102355" w:rsidP="00290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5446414"/>
      <w:docPartObj>
        <w:docPartGallery w:val="Page Numbers (Bottom of Page)"/>
        <w:docPartUnique/>
      </w:docPartObj>
    </w:sdtPr>
    <w:sdtEndPr>
      <w:rPr>
        <w:noProof/>
      </w:rPr>
    </w:sdtEndPr>
    <w:sdtContent>
      <w:p w:rsidR="00290E2E" w:rsidRDefault="00290E2E" w:rsidP="00290E2E">
        <w:pPr>
          <w:pStyle w:val="Footer"/>
          <w:ind w:right="360"/>
          <w:rPr>
            <w:noProof/>
          </w:rPr>
        </w:pPr>
        <w:r>
          <w:t xml:space="preserve">V </w:t>
        </w:r>
        <w:r w:rsidR="0094428D">
          <w:t>4</w:t>
        </w:r>
        <w:r>
          <w:t xml:space="preserve">.0 van </w:t>
        </w:r>
        <w:r w:rsidR="0094428D">
          <w:t>20</w:t>
        </w:r>
        <w:r>
          <w:t>.11.201</w:t>
        </w:r>
        <w:r w:rsidR="0094428D">
          <w:t>9</w:t>
        </w:r>
        <w:r>
          <w:tab/>
        </w:r>
        <w:r>
          <w:tab/>
        </w:r>
        <w:r w:rsidRPr="00C86A69">
          <w:rPr>
            <w:lang w:val="en-US"/>
          </w:rPr>
          <w:t xml:space="preserve">p. </w:t>
        </w:r>
        <w:r>
          <w:rPr>
            <w:b/>
            <w:bCs/>
          </w:rPr>
          <w:fldChar w:fldCharType="begin"/>
        </w:r>
        <w:r>
          <w:rPr>
            <w:b/>
            <w:bCs/>
          </w:rPr>
          <w:instrText>PAGE  \* Arabic  \* MERGEFORMAT</w:instrText>
        </w:r>
        <w:r>
          <w:rPr>
            <w:b/>
            <w:bCs/>
          </w:rPr>
          <w:fldChar w:fldCharType="separate"/>
        </w:r>
        <w:r w:rsidR="009E6216">
          <w:rPr>
            <w:b/>
            <w:bCs/>
            <w:noProof/>
          </w:rPr>
          <w:t>4</w:t>
        </w:r>
        <w:r>
          <w:rPr>
            <w:b/>
            <w:bCs/>
          </w:rPr>
          <w:fldChar w:fldCharType="end"/>
        </w:r>
        <w:r w:rsidRPr="00C86A69">
          <w:rPr>
            <w:lang w:val="en-US"/>
          </w:rPr>
          <w:t xml:space="preserve"> op </w:t>
        </w:r>
        <w:r>
          <w:rPr>
            <w:b/>
            <w:bCs/>
          </w:rPr>
          <w:fldChar w:fldCharType="begin"/>
        </w:r>
        <w:r>
          <w:rPr>
            <w:b/>
            <w:bCs/>
          </w:rPr>
          <w:instrText>NUMPAGES  \* Arabic  \* MERGEFORMAT</w:instrText>
        </w:r>
        <w:r>
          <w:rPr>
            <w:b/>
            <w:bCs/>
          </w:rPr>
          <w:fldChar w:fldCharType="separate"/>
        </w:r>
        <w:r w:rsidR="009E6216">
          <w:rPr>
            <w:b/>
            <w:bCs/>
            <w:noProof/>
          </w:rPr>
          <w:t>4</w:t>
        </w:r>
        <w:r>
          <w:rPr>
            <w:b/>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355" w:rsidRDefault="00102355" w:rsidP="00290E2E">
      <w:pPr>
        <w:spacing w:after="0" w:line="240" w:lineRule="auto"/>
      </w:pPr>
      <w:r>
        <w:separator/>
      </w:r>
    </w:p>
  </w:footnote>
  <w:footnote w:type="continuationSeparator" w:id="0">
    <w:p w:rsidR="00102355" w:rsidRDefault="00102355" w:rsidP="00290E2E">
      <w:pPr>
        <w:spacing w:after="0" w:line="240" w:lineRule="auto"/>
      </w:pPr>
      <w:r>
        <w:continuationSeparator/>
      </w:r>
    </w:p>
  </w:footnote>
  <w:footnote w:id="1">
    <w:p w:rsidR="009E6216" w:rsidRPr="009E6216" w:rsidRDefault="009E6216">
      <w:pPr>
        <w:pStyle w:val="FootnoteText"/>
        <w:rPr>
          <w:lang w:val="nl-NL"/>
        </w:rPr>
      </w:pPr>
      <w:r>
        <w:rPr>
          <w:rStyle w:val="FootnoteReference"/>
        </w:rPr>
        <w:footnoteRef/>
      </w:r>
      <w:r>
        <w:t xml:space="preserve"> Indien de OOB geconsolideerde jaarrekeningen opstelt.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F5311"/>
    <w:multiLevelType w:val="hybridMultilevel"/>
    <w:tmpl w:val="222C4014"/>
    <w:lvl w:ilvl="0" w:tplc="080C0017">
      <w:start w:val="1"/>
      <w:numFmt w:val="lowerLetter"/>
      <w:lvlText w:val="%1)"/>
      <w:lvlJc w:val="left"/>
      <w:pPr>
        <w:ind w:left="1068" w:hanging="360"/>
      </w:p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 w15:restartNumberingAfterBreak="0">
    <w:nsid w:val="26F94B9E"/>
    <w:multiLevelType w:val="hybridMultilevel"/>
    <w:tmpl w:val="75CCA5F0"/>
    <w:lvl w:ilvl="0" w:tplc="0813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403B51F5"/>
    <w:multiLevelType w:val="hybridMultilevel"/>
    <w:tmpl w:val="7DFE15EA"/>
    <w:lvl w:ilvl="0" w:tplc="05083E6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061"/>
    <w:rsid w:val="00041C01"/>
    <w:rsid w:val="00056AF1"/>
    <w:rsid w:val="00073884"/>
    <w:rsid w:val="000A0B38"/>
    <w:rsid w:val="000D1BE9"/>
    <w:rsid w:val="00102355"/>
    <w:rsid w:val="00115D7F"/>
    <w:rsid w:val="00136D43"/>
    <w:rsid w:val="0014238F"/>
    <w:rsid w:val="00187478"/>
    <w:rsid w:val="00193621"/>
    <w:rsid w:val="001A2732"/>
    <w:rsid w:val="001D64E3"/>
    <w:rsid w:val="00217153"/>
    <w:rsid w:val="00225ADA"/>
    <w:rsid w:val="00261F28"/>
    <w:rsid w:val="002807F8"/>
    <w:rsid w:val="00290E2E"/>
    <w:rsid w:val="002943FB"/>
    <w:rsid w:val="00295944"/>
    <w:rsid w:val="002E4685"/>
    <w:rsid w:val="00311D32"/>
    <w:rsid w:val="003130FE"/>
    <w:rsid w:val="003418DD"/>
    <w:rsid w:val="003504AC"/>
    <w:rsid w:val="00355452"/>
    <w:rsid w:val="00381B15"/>
    <w:rsid w:val="003F3847"/>
    <w:rsid w:val="003F5F8F"/>
    <w:rsid w:val="003F718F"/>
    <w:rsid w:val="0042689E"/>
    <w:rsid w:val="004276F4"/>
    <w:rsid w:val="00465E2C"/>
    <w:rsid w:val="0047768D"/>
    <w:rsid w:val="004B2ABC"/>
    <w:rsid w:val="004C5061"/>
    <w:rsid w:val="004C644B"/>
    <w:rsid w:val="005274B4"/>
    <w:rsid w:val="00566C10"/>
    <w:rsid w:val="00590FE9"/>
    <w:rsid w:val="005B7803"/>
    <w:rsid w:val="005E5255"/>
    <w:rsid w:val="00637A55"/>
    <w:rsid w:val="00642344"/>
    <w:rsid w:val="006506A7"/>
    <w:rsid w:val="00685851"/>
    <w:rsid w:val="006D65C1"/>
    <w:rsid w:val="007107DB"/>
    <w:rsid w:val="00766E8C"/>
    <w:rsid w:val="007A46DC"/>
    <w:rsid w:val="007D2F7C"/>
    <w:rsid w:val="007D7F6C"/>
    <w:rsid w:val="0080189D"/>
    <w:rsid w:val="008172A8"/>
    <w:rsid w:val="008A0DF7"/>
    <w:rsid w:val="008B18CA"/>
    <w:rsid w:val="008F4974"/>
    <w:rsid w:val="008F587A"/>
    <w:rsid w:val="009062BA"/>
    <w:rsid w:val="00910F53"/>
    <w:rsid w:val="00915A96"/>
    <w:rsid w:val="0094428D"/>
    <w:rsid w:val="00962E50"/>
    <w:rsid w:val="00966E0A"/>
    <w:rsid w:val="009A0F66"/>
    <w:rsid w:val="009B5280"/>
    <w:rsid w:val="009E6216"/>
    <w:rsid w:val="00A06D0A"/>
    <w:rsid w:val="00A1140F"/>
    <w:rsid w:val="00A34152"/>
    <w:rsid w:val="00A87190"/>
    <w:rsid w:val="00A92BFC"/>
    <w:rsid w:val="00AE147F"/>
    <w:rsid w:val="00B06211"/>
    <w:rsid w:val="00B15D59"/>
    <w:rsid w:val="00B53C3C"/>
    <w:rsid w:val="00BA1BE3"/>
    <w:rsid w:val="00BE3183"/>
    <w:rsid w:val="00BE3EA3"/>
    <w:rsid w:val="00C060EE"/>
    <w:rsid w:val="00C4217F"/>
    <w:rsid w:val="00CA4DEE"/>
    <w:rsid w:val="00D366E6"/>
    <w:rsid w:val="00D71C18"/>
    <w:rsid w:val="00D76531"/>
    <w:rsid w:val="00D93879"/>
    <w:rsid w:val="00DA4FA7"/>
    <w:rsid w:val="00DD0A48"/>
    <w:rsid w:val="00DD61F8"/>
    <w:rsid w:val="00EA4A79"/>
    <w:rsid w:val="00EB18B1"/>
    <w:rsid w:val="00FC0178"/>
    <w:rsid w:val="00FE6D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C1F48"/>
  <w15:chartTrackingRefBased/>
  <w15:docId w15:val="{F5C6B049-F087-4C42-9D07-6906D1177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5061"/>
    <w:pPr>
      <w:spacing w:after="200" w:line="276" w:lineRule="auto"/>
    </w:pPr>
    <w:rPr>
      <w:rFonts w:ascii="Arial" w:hAnsi="Arial" w:cs="Arial"/>
      <w:sz w:val="20"/>
      <w:szCs w:val="20"/>
      <w:lang w:val="nl-BE"/>
    </w:rPr>
  </w:style>
  <w:style w:type="paragraph" w:styleId="Heading2">
    <w:name w:val="heading 2"/>
    <w:basedOn w:val="NoSpacing"/>
    <w:next w:val="Normal"/>
    <w:link w:val="Heading2Char"/>
    <w:unhideWhenUsed/>
    <w:qFormat/>
    <w:rsid w:val="004C5061"/>
    <w:pPr>
      <w:pageBreakBefore/>
      <w:spacing w:after="120"/>
      <w:outlineLvl w:val="1"/>
    </w:pPr>
    <w:rPr>
      <w:b/>
      <w:sz w:val="44"/>
      <w:szCs w:val="44"/>
    </w:rPr>
  </w:style>
  <w:style w:type="paragraph" w:styleId="Heading4">
    <w:name w:val="heading 4"/>
    <w:basedOn w:val="Normal"/>
    <w:next w:val="Normal"/>
    <w:link w:val="Heading4Char"/>
    <w:unhideWhenUsed/>
    <w:qFormat/>
    <w:rsid w:val="004C5061"/>
    <w:pPr>
      <w:keepNext/>
      <w:spacing w:before="240" w:after="120"/>
      <w:outlineLvl w:val="3"/>
    </w:pPr>
    <w:rPr>
      <w:rFonts w:eastAsia="Times New Roman"/>
      <w:bCs/>
      <w:color w:val="365F91"/>
      <w:sz w:val="28"/>
      <w:szCs w:val="24"/>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5061"/>
    <w:rPr>
      <w:rFonts w:ascii="Arial" w:hAnsi="Arial" w:cs="Arial"/>
      <w:b/>
      <w:sz w:val="44"/>
      <w:szCs w:val="44"/>
      <w:lang w:val="nl-BE"/>
    </w:rPr>
  </w:style>
  <w:style w:type="character" w:customStyle="1" w:styleId="Heading4Char">
    <w:name w:val="Heading 4 Char"/>
    <w:basedOn w:val="DefaultParagraphFont"/>
    <w:link w:val="Heading4"/>
    <w:rsid w:val="004C5061"/>
    <w:rPr>
      <w:rFonts w:ascii="Arial" w:eastAsia="Times New Roman" w:hAnsi="Arial" w:cs="Arial"/>
      <w:bCs/>
      <w:color w:val="365F91"/>
      <w:sz w:val="28"/>
      <w:szCs w:val="24"/>
      <w:lang w:val="nl-BE" w:eastAsia="fr-BE"/>
    </w:rPr>
  </w:style>
  <w:style w:type="paragraph" w:styleId="ListParagraph">
    <w:name w:val="List Paragraph"/>
    <w:basedOn w:val="Normal"/>
    <w:link w:val="ListParagraphChar"/>
    <w:uiPriority w:val="34"/>
    <w:qFormat/>
    <w:rsid w:val="004C5061"/>
    <w:pPr>
      <w:keepLines/>
      <w:tabs>
        <w:tab w:val="left" w:pos="567"/>
      </w:tabs>
      <w:spacing w:before="120" w:after="120"/>
      <w:contextualSpacing/>
      <w:jc w:val="both"/>
    </w:pPr>
    <w:rPr>
      <w:rFonts w:eastAsia="Times New Roman"/>
      <w:lang w:eastAsia="fr-BE"/>
    </w:rPr>
  </w:style>
  <w:style w:type="character" w:customStyle="1" w:styleId="ListParagraphChar">
    <w:name w:val="List Paragraph Char"/>
    <w:basedOn w:val="DefaultParagraphFont"/>
    <w:link w:val="ListParagraph"/>
    <w:uiPriority w:val="34"/>
    <w:rsid w:val="004C5061"/>
    <w:rPr>
      <w:rFonts w:ascii="Arial" w:eastAsia="Times New Roman" w:hAnsi="Arial" w:cs="Arial"/>
      <w:sz w:val="20"/>
      <w:szCs w:val="20"/>
      <w:lang w:val="nl-BE" w:eastAsia="fr-BE"/>
    </w:rPr>
  </w:style>
  <w:style w:type="paragraph" w:styleId="NoSpacing">
    <w:name w:val="No Spacing"/>
    <w:uiPriority w:val="1"/>
    <w:qFormat/>
    <w:rsid w:val="004C5061"/>
    <w:pPr>
      <w:spacing w:after="0" w:line="240" w:lineRule="auto"/>
    </w:pPr>
    <w:rPr>
      <w:rFonts w:ascii="Arial" w:hAnsi="Arial" w:cs="Arial"/>
      <w:sz w:val="20"/>
      <w:szCs w:val="20"/>
      <w:lang w:val="nl-BE"/>
    </w:rPr>
  </w:style>
  <w:style w:type="paragraph" w:styleId="Header">
    <w:name w:val="header"/>
    <w:basedOn w:val="Normal"/>
    <w:link w:val="HeaderChar"/>
    <w:uiPriority w:val="99"/>
    <w:unhideWhenUsed/>
    <w:rsid w:val="00290E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290E2E"/>
    <w:rPr>
      <w:rFonts w:ascii="Arial" w:hAnsi="Arial" w:cs="Arial"/>
      <w:sz w:val="20"/>
      <w:szCs w:val="20"/>
      <w:lang w:val="nl-BE"/>
    </w:rPr>
  </w:style>
  <w:style w:type="paragraph" w:styleId="Footer">
    <w:name w:val="footer"/>
    <w:basedOn w:val="Normal"/>
    <w:link w:val="FooterChar"/>
    <w:uiPriority w:val="99"/>
    <w:unhideWhenUsed/>
    <w:rsid w:val="00290E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290E2E"/>
    <w:rPr>
      <w:rFonts w:ascii="Arial" w:hAnsi="Arial" w:cs="Arial"/>
      <w:sz w:val="20"/>
      <w:szCs w:val="20"/>
      <w:lang w:val="nl-BE"/>
    </w:rPr>
  </w:style>
  <w:style w:type="paragraph" w:styleId="FootnoteText">
    <w:name w:val="footnote text"/>
    <w:basedOn w:val="Normal"/>
    <w:link w:val="FootnoteTextChar"/>
    <w:uiPriority w:val="99"/>
    <w:semiHidden/>
    <w:unhideWhenUsed/>
    <w:rsid w:val="009E6216"/>
    <w:pPr>
      <w:spacing w:after="0" w:line="240" w:lineRule="auto"/>
    </w:pPr>
  </w:style>
  <w:style w:type="character" w:customStyle="1" w:styleId="FootnoteTextChar">
    <w:name w:val="Footnote Text Char"/>
    <w:basedOn w:val="DefaultParagraphFont"/>
    <w:link w:val="FootnoteText"/>
    <w:uiPriority w:val="99"/>
    <w:semiHidden/>
    <w:rsid w:val="009E6216"/>
    <w:rPr>
      <w:rFonts w:ascii="Arial" w:hAnsi="Arial" w:cs="Arial"/>
      <w:sz w:val="20"/>
      <w:szCs w:val="20"/>
      <w:lang w:val="nl-BE"/>
    </w:rPr>
  </w:style>
  <w:style w:type="character" w:styleId="FootnoteReference">
    <w:name w:val="footnote reference"/>
    <w:basedOn w:val="DefaultParagraphFont"/>
    <w:uiPriority w:val="99"/>
    <w:semiHidden/>
    <w:unhideWhenUsed/>
    <w:rsid w:val="009E62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E55CF5-7904-44F3-B314-21CABD06D6A2}">
  <ds:schemaRefs>
    <ds:schemaRef ds:uri="http://schemas.openxmlformats.org/officeDocument/2006/bibliography"/>
  </ds:schemaRefs>
</ds:datastoreItem>
</file>

<file path=customXml/itemProps2.xml><?xml version="1.0" encoding="utf-8"?>
<ds:datastoreItem xmlns:ds="http://schemas.openxmlformats.org/officeDocument/2006/customXml" ds:itemID="{B773DCD1-753F-48D9-9CC1-ACD14FB4D1E1}"/>
</file>

<file path=customXml/itemProps3.xml><?xml version="1.0" encoding="utf-8"?>
<ds:datastoreItem xmlns:ds="http://schemas.openxmlformats.org/officeDocument/2006/customXml" ds:itemID="{EE391ACB-FFC2-426D-A3E5-43441927B0FB}"/>
</file>

<file path=customXml/itemProps4.xml><?xml version="1.0" encoding="utf-8"?>
<ds:datastoreItem xmlns:ds="http://schemas.openxmlformats.org/officeDocument/2006/customXml" ds:itemID="{4FF0FA8E-D76A-4E17-9BAE-620336E02C15}"/>
</file>

<file path=customXml/itemProps5.xml><?xml version="1.0" encoding="utf-8"?>
<ds:datastoreItem xmlns:ds="http://schemas.openxmlformats.org/officeDocument/2006/customXml" ds:itemID="{4040DAF3-E95E-4FF1-8AC3-A164F234347A}"/>
</file>

<file path=docProps/app.xml><?xml version="1.0" encoding="utf-8"?>
<Properties xmlns="http://schemas.openxmlformats.org/officeDocument/2006/extended-properties" xmlns:vt="http://schemas.openxmlformats.org/officeDocument/2006/docPropsVTypes">
  <Template>Normal.dotm</Template>
  <TotalTime>4</TotalTime>
  <Pages>4</Pages>
  <Words>1367</Words>
  <Characters>7520</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DEVEAUX -Computerland</dc:creator>
  <cp:keywords/>
  <dc:description/>
  <cp:lastModifiedBy>Quintart Stéphanie</cp:lastModifiedBy>
  <cp:revision>5</cp:revision>
  <dcterms:created xsi:type="dcterms:W3CDTF">2018-11-14T09:48:00Z</dcterms:created>
  <dcterms:modified xsi:type="dcterms:W3CDTF">2019-12-03T10:00:00Z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ies>
</file>