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4E0599" w14:textId="484BE5F7" w:rsidR="00BA6DAF" w:rsidRPr="005155AA" w:rsidRDefault="00CF7D2E" w:rsidP="00B445DA">
      <w:pPr>
        <w:pBdr>
          <w:top w:val="single" w:sz="4" w:space="1" w:color="auto"/>
          <w:left w:val="single" w:sz="4" w:space="4" w:color="auto"/>
          <w:bottom w:val="single" w:sz="4" w:space="1" w:color="auto"/>
          <w:right w:val="single" w:sz="4" w:space="4" w:color="auto"/>
        </w:pBdr>
        <w:jc w:val="center"/>
        <w:rPr>
          <w:rFonts w:ascii="Arial" w:hAnsi="Arial" w:cs="Arial"/>
          <w:b/>
          <w:sz w:val="18"/>
          <w:szCs w:val="18"/>
        </w:rPr>
      </w:pPr>
      <w:r>
        <w:rPr>
          <w:rFonts w:ascii="Arial" w:hAnsi="Arial" w:cs="Arial"/>
          <w:b/>
          <w:sz w:val="18"/>
          <w:szCs w:val="18"/>
        </w:rPr>
        <w:t>Guidance</w:t>
      </w:r>
      <w:r w:rsidR="0052658A" w:rsidRPr="005155AA">
        <w:rPr>
          <w:rFonts w:ascii="Arial" w:hAnsi="Arial" w:cs="Arial"/>
          <w:b/>
          <w:sz w:val="18"/>
          <w:szCs w:val="18"/>
        </w:rPr>
        <w:t xml:space="preserve"> bij artikel </w:t>
      </w:r>
      <w:r w:rsidR="00374387" w:rsidRPr="005155AA">
        <w:rPr>
          <w:rFonts w:ascii="Arial" w:hAnsi="Arial" w:cs="Arial"/>
          <w:b/>
          <w:sz w:val="18"/>
          <w:szCs w:val="18"/>
        </w:rPr>
        <w:t xml:space="preserve">60 van het </w:t>
      </w:r>
      <w:r w:rsidR="00066BAC" w:rsidRPr="005155AA">
        <w:rPr>
          <w:rFonts w:ascii="Arial" w:hAnsi="Arial" w:cs="Arial"/>
          <w:b/>
          <w:sz w:val="18"/>
          <w:szCs w:val="18"/>
        </w:rPr>
        <w:t xml:space="preserve"> </w:t>
      </w:r>
      <w:r w:rsidR="00374387" w:rsidRPr="005155AA">
        <w:rPr>
          <w:rFonts w:ascii="Arial" w:hAnsi="Arial" w:cs="Arial"/>
          <w:b/>
          <w:sz w:val="18"/>
          <w:szCs w:val="18"/>
        </w:rPr>
        <w:t>Besluit van 17 mei 2019 van de Vlaamse Regering ter uitvoering van de Vlaamse Codex Overheidsfinanciën van 29 maart 2019</w:t>
      </w:r>
    </w:p>
    <w:p w14:paraId="4239AB27" w14:textId="77777777" w:rsidR="00B445DA" w:rsidRPr="005155AA" w:rsidRDefault="00B445DA" w:rsidP="00B445DA">
      <w:pPr>
        <w:autoSpaceDE w:val="0"/>
        <w:autoSpaceDN w:val="0"/>
        <w:adjustRightInd w:val="0"/>
        <w:spacing w:after="0" w:line="240" w:lineRule="auto"/>
        <w:rPr>
          <w:rFonts w:ascii="Arial" w:hAnsi="Arial" w:cs="Arial"/>
          <w:color w:val="000000"/>
          <w:sz w:val="18"/>
          <w:szCs w:val="18"/>
        </w:rPr>
      </w:pPr>
    </w:p>
    <w:p w14:paraId="5ACB7721" w14:textId="77777777" w:rsidR="00CB6A3E" w:rsidRPr="005155AA" w:rsidRDefault="00CB6A3E" w:rsidP="00CF7D2E">
      <w:pPr>
        <w:pStyle w:val="Heading1"/>
        <w:spacing w:after="240"/>
        <w:jc w:val="both"/>
        <w:rPr>
          <w:rFonts w:ascii="Arial" w:hAnsi="Arial" w:cs="Arial"/>
          <w:sz w:val="18"/>
          <w:szCs w:val="18"/>
        </w:rPr>
      </w:pPr>
      <w:bookmarkStart w:id="0" w:name="_Toc58500437"/>
      <w:r w:rsidRPr="005155AA">
        <w:rPr>
          <w:rFonts w:ascii="Arial" w:hAnsi="Arial" w:cs="Arial"/>
          <w:sz w:val="18"/>
          <w:szCs w:val="18"/>
        </w:rPr>
        <w:t>Voorafgaand</w:t>
      </w:r>
      <w:bookmarkEnd w:id="0"/>
    </w:p>
    <w:p w14:paraId="4AA624CC" w14:textId="77777777" w:rsidR="00704B6F" w:rsidRPr="005155AA" w:rsidRDefault="00704B6F" w:rsidP="00704B6F">
      <w:pPr>
        <w:spacing w:after="0" w:line="240" w:lineRule="auto"/>
        <w:jc w:val="both"/>
        <w:rPr>
          <w:rFonts w:ascii="Arial" w:hAnsi="Arial" w:cs="Arial"/>
          <w:sz w:val="18"/>
          <w:szCs w:val="18"/>
        </w:rPr>
      </w:pPr>
      <w:r w:rsidRPr="005155AA">
        <w:rPr>
          <w:rFonts w:ascii="Arial" w:hAnsi="Arial" w:cs="Arial"/>
          <w:sz w:val="18"/>
          <w:szCs w:val="18"/>
        </w:rPr>
        <w:t>Op 8 augustus 2019 verscheen in het Belgisch Staatsblad het besluit van 17 mei 2019 van de Vlaamse Regering ter uitvoering van de Vlaamse Codex Overheidsfinanciën van 29 maart 2019 (aangehaald als “Besluit Vlaamse Codex Overheidsfinanciën van 17 mei 2019” en afgekort als “BVCO van 17 mei 2019”</w:t>
      </w:r>
      <w:r w:rsidR="00FA1F35" w:rsidRPr="005155AA">
        <w:rPr>
          <w:rFonts w:ascii="Arial" w:hAnsi="Arial" w:cs="Arial"/>
          <w:sz w:val="18"/>
          <w:szCs w:val="18"/>
        </w:rPr>
        <w:t>)</w:t>
      </w:r>
      <w:r w:rsidRPr="005155AA">
        <w:rPr>
          <w:rFonts w:ascii="Arial" w:hAnsi="Arial" w:cs="Arial"/>
          <w:sz w:val="18"/>
          <w:szCs w:val="18"/>
        </w:rPr>
        <w:t>.</w:t>
      </w:r>
    </w:p>
    <w:p w14:paraId="62DE90F5" w14:textId="77777777" w:rsidR="00704B6F" w:rsidRPr="005155AA" w:rsidRDefault="00704B6F" w:rsidP="00704B6F">
      <w:pPr>
        <w:spacing w:after="0" w:line="240" w:lineRule="auto"/>
        <w:jc w:val="both"/>
        <w:rPr>
          <w:rFonts w:ascii="Arial" w:hAnsi="Arial" w:cs="Arial"/>
          <w:sz w:val="18"/>
          <w:szCs w:val="18"/>
        </w:rPr>
      </w:pPr>
    </w:p>
    <w:p w14:paraId="0F6BE198" w14:textId="77777777" w:rsidR="00704B6F" w:rsidRPr="005155AA" w:rsidRDefault="00704B6F" w:rsidP="00704B6F">
      <w:pPr>
        <w:spacing w:after="0" w:line="240" w:lineRule="auto"/>
        <w:jc w:val="both"/>
        <w:rPr>
          <w:rFonts w:ascii="Arial" w:hAnsi="Arial" w:cs="Arial"/>
          <w:sz w:val="18"/>
          <w:szCs w:val="18"/>
        </w:rPr>
      </w:pPr>
      <w:r w:rsidRPr="005155AA">
        <w:rPr>
          <w:rFonts w:ascii="Arial" w:hAnsi="Arial" w:cs="Arial"/>
          <w:sz w:val="18"/>
          <w:szCs w:val="18"/>
        </w:rPr>
        <w:t>Artikel 60 van het BVCO van 17 mei 2019 bepaalt het volgende:</w:t>
      </w:r>
    </w:p>
    <w:p w14:paraId="38BA4ED9" w14:textId="77777777" w:rsidR="00704B6F" w:rsidRPr="005155AA" w:rsidRDefault="00704B6F" w:rsidP="00704B6F">
      <w:pPr>
        <w:spacing w:after="0" w:line="240" w:lineRule="auto"/>
        <w:jc w:val="both"/>
        <w:rPr>
          <w:rFonts w:ascii="Arial" w:hAnsi="Arial" w:cs="Arial"/>
          <w:sz w:val="18"/>
          <w:szCs w:val="18"/>
        </w:rPr>
      </w:pPr>
    </w:p>
    <w:p w14:paraId="5E6FB15F" w14:textId="77777777" w:rsidR="00B745B7" w:rsidRPr="005155AA" w:rsidRDefault="00704B6F" w:rsidP="00B745B7">
      <w:pPr>
        <w:spacing w:after="0" w:line="240" w:lineRule="auto"/>
        <w:jc w:val="both"/>
        <w:rPr>
          <w:rFonts w:ascii="Arial" w:hAnsi="Arial" w:cs="Arial"/>
          <w:i/>
          <w:iCs/>
          <w:sz w:val="18"/>
          <w:szCs w:val="18"/>
        </w:rPr>
      </w:pPr>
      <w:r w:rsidRPr="005155AA">
        <w:rPr>
          <w:rFonts w:ascii="Arial" w:hAnsi="Arial" w:cs="Arial"/>
          <w:sz w:val="18"/>
          <w:szCs w:val="18"/>
        </w:rPr>
        <w:t>“</w:t>
      </w:r>
      <w:r w:rsidR="00B745B7" w:rsidRPr="005155AA">
        <w:rPr>
          <w:rFonts w:ascii="Arial" w:hAnsi="Arial" w:cs="Arial"/>
          <w:i/>
          <w:iCs/>
          <w:sz w:val="18"/>
          <w:szCs w:val="18"/>
        </w:rPr>
        <w:t>Bij de aanstelling van de bedrijfsrevisor maken de Vlaamse rechtspersonen gebruik van het bestek dat de instantie die bevoegd is voor de rekeningen ter beschikking stelt.</w:t>
      </w:r>
    </w:p>
    <w:p w14:paraId="7DF481D8" w14:textId="77777777" w:rsidR="00B745B7" w:rsidRPr="005155AA" w:rsidRDefault="00B745B7" w:rsidP="00B745B7">
      <w:pPr>
        <w:spacing w:after="0" w:line="240" w:lineRule="auto"/>
        <w:jc w:val="both"/>
        <w:rPr>
          <w:rFonts w:ascii="Arial" w:hAnsi="Arial" w:cs="Arial"/>
          <w:i/>
          <w:iCs/>
          <w:sz w:val="18"/>
          <w:szCs w:val="18"/>
        </w:rPr>
      </w:pPr>
      <w:r w:rsidRPr="005155AA">
        <w:rPr>
          <w:rFonts w:ascii="Arial" w:hAnsi="Arial" w:cs="Arial"/>
          <w:i/>
          <w:iCs/>
          <w:sz w:val="18"/>
          <w:szCs w:val="18"/>
        </w:rPr>
        <w:t xml:space="preserve">  De bedrijfsrevisor neemt ter certificering van de jaarlijkse rekening in zijn verslag de volgende elementen op:</w:t>
      </w:r>
    </w:p>
    <w:p w14:paraId="282630BC" w14:textId="77777777" w:rsidR="00B745B7" w:rsidRPr="005155AA" w:rsidRDefault="00B745B7" w:rsidP="00B745B7">
      <w:pPr>
        <w:spacing w:after="0" w:line="240" w:lineRule="auto"/>
        <w:jc w:val="both"/>
        <w:rPr>
          <w:rFonts w:ascii="Arial" w:hAnsi="Arial" w:cs="Arial"/>
          <w:i/>
          <w:iCs/>
          <w:sz w:val="18"/>
          <w:szCs w:val="18"/>
        </w:rPr>
      </w:pPr>
      <w:r w:rsidRPr="005155AA">
        <w:rPr>
          <w:rFonts w:ascii="Arial" w:hAnsi="Arial" w:cs="Arial"/>
          <w:i/>
          <w:iCs/>
          <w:sz w:val="18"/>
          <w:szCs w:val="18"/>
        </w:rPr>
        <w:t xml:space="preserve">  1° de vermelding dat de rapportering al dan niet is opgesteld in overeenstemming met de ESR-verordening;</w:t>
      </w:r>
    </w:p>
    <w:p w14:paraId="5C285A1C" w14:textId="77777777" w:rsidR="00B745B7" w:rsidRPr="005155AA" w:rsidRDefault="00B745B7" w:rsidP="00B745B7">
      <w:pPr>
        <w:spacing w:after="0" w:line="240" w:lineRule="auto"/>
        <w:jc w:val="both"/>
        <w:rPr>
          <w:rFonts w:ascii="Arial" w:hAnsi="Arial" w:cs="Arial"/>
          <w:i/>
          <w:iCs/>
          <w:sz w:val="18"/>
          <w:szCs w:val="18"/>
        </w:rPr>
      </w:pPr>
      <w:r w:rsidRPr="005155AA">
        <w:rPr>
          <w:rFonts w:ascii="Arial" w:hAnsi="Arial" w:cs="Arial"/>
          <w:i/>
          <w:iCs/>
          <w:sz w:val="18"/>
          <w:szCs w:val="18"/>
        </w:rPr>
        <w:t xml:space="preserve">  2° de vermelding dat de ESR-rapportering al dan niet op een consistente wijze aansluit bij de rekeningen;</w:t>
      </w:r>
    </w:p>
    <w:p w14:paraId="1315DEC2" w14:textId="77777777" w:rsidR="00B745B7" w:rsidRPr="005155AA" w:rsidRDefault="00B745B7" w:rsidP="00B745B7">
      <w:pPr>
        <w:spacing w:after="0" w:line="240" w:lineRule="auto"/>
        <w:jc w:val="both"/>
        <w:rPr>
          <w:rFonts w:ascii="Arial" w:hAnsi="Arial" w:cs="Arial"/>
          <w:i/>
          <w:iCs/>
          <w:sz w:val="18"/>
          <w:szCs w:val="18"/>
        </w:rPr>
      </w:pPr>
      <w:r w:rsidRPr="005155AA">
        <w:rPr>
          <w:rFonts w:ascii="Arial" w:hAnsi="Arial" w:cs="Arial"/>
          <w:i/>
          <w:iCs/>
          <w:sz w:val="18"/>
          <w:szCs w:val="18"/>
        </w:rPr>
        <w:t xml:space="preserve">  </w:t>
      </w:r>
      <w:r w:rsidRPr="005155AA">
        <w:rPr>
          <w:rFonts w:ascii="Arial" w:hAnsi="Arial" w:cs="Arial"/>
          <w:i/>
          <w:iCs/>
          <w:sz w:val="18"/>
          <w:szCs w:val="18"/>
          <w:u w:val="single"/>
        </w:rPr>
        <w:t>3°</w:t>
      </w:r>
      <w:r w:rsidRPr="005155AA">
        <w:rPr>
          <w:rFonts w:ascii="Arial" w:hAnsi="Arial" w:cs="Arial"/>
          <w:i/>
          <w:iCs/>
          <w:sz w:val="18"/>
          <w:szCs w:val="18"/>
        </w:rPr>
        <w:t xml:space="preserve"> </w:t>
      </w:r>
      <w:r w:rsidRPr="005155AA">
        <w:rPr>
          <w:rFonts w:ascii="Arial" w:hAnsi="Arial" w:cs="Arial"/>
          <w:i/>
          <w:iCs/>
          <w:sz w:val="18"/>
          <w:szCs w:val="18"/>
          <w:u w:val="single"/>
        </w:rPr>
        <w:t>de vermelding dat de regels en principes van de codex zijn nageleefd</w:t>
      </w:r>
      <w:r w:rsidRPr="005155AA">
        <w:rPr>
          <w:rFonts w:ascii="Arial" w:hAnsi="Arial" w:cs="Arial"/>
          <w:i/>
          <w:iCs/>
          <w:sz w:val="18"/>
          <w:szCs w:val="18"/>
        </w:rPr>
        <w:t>.</w:t>
      </w:r>
    </w:p>
    <w:p w14:paraId="490F723F" w14:textId="77777777" w:rsidR="00704B6F" w:rsidRPr="005155AA" w:rsidRDefault="00B745B7" w:rsidP="00B745B7">
      <w:pPr>
        <w:spacing w:after="0" w:line="240" w:lineRule="auto"/>
        <w:jc w:val="both"/>
        <w:rPr>
          <w:rFonts w:ascii="Arial" w:hAnsi="Arial" w:cs="Arial"/>
          <w:sz w:val="18"/>
          <w:szCs w:val="18"/>
        </w:rPr>
      </w:pPr>
      <w:r w:rsidRPr="005155AA">
        <w:rPr>
          <w:rFonts w:ascii="Arial" w:hAnsi="Arial" w:cs="Arial"/>
          <w:i/>
          <w:iCs/>
          <w:sz w:val="18"/>
          <w:szCs w:val="18"/>
        </w:rPr>
        <w:t xml:space="preserve">  Naast andere aanbevelingen over vastgestelde tekortkomingen inzake organisatiebeheersing formuleert de bedrijfsrevisor in de managementletter de vastgestelde inefficiënties en inbreuken op andere regelgeving die financiële gevolgen voor de entiteit met zich hebben meegebracht of met zich zouden kunnen meebrengen.</w:t>
      </w:r>
      <w:r w:rsidR="00704B6F" w:rsidRPr="005155AA">
        <w:rPr>
          <w:rFonts w:ascii="Arial" w:hAnsi="Arial" w:cs="Arial"/>
          <w:sz w:val="18"/>
          <w:szCs w:val="18"/>
        </w:rPr>
        <w:t>”.</w:t>
      </w:r>
    </w:p>
    <w:p w14:paraId="709EB672" w14:textId="77777777" w:rsidR="00704B6F" w:rsidRPr="005155AA" w:rsidRDefault="00704B6F" w:rsidP="00704B6F">
      <w:pPr>
        <w:spacing w:after="0" w:line="240" w:lineRule="auto"/>
        <w:jc w:val="both"/>
        <w:rPr>
          <w:rFonts w:ascii="Arial" w:hAnsi="Arial" w:cs="Arial"/>
          <w:b/>
          <w:bCs/>
          <w:i/>
          <w:iCs/>
          <w:sz w:val="18"/>
          <w:szCs w:val="18"/>
        </w:rPr>
      </w:pPr>
    </w:p>
    <w:p w14:paraId="13CA3245" w14:textId="67230343" w:rsidR="00704B6F" w:rsidRPr="005155AA" w:rsidRDefault="00704B6F" w:rsidP="00704B6F">
      <w:pPr>
        <w:spacing w:after="0" w:line="240" w:lineRule="auto"/>
        <w:jc w:val="both"/>
        <w:rPr>
          <w:rFonts w:ascii="Arial" w:hAnsi="Arial" w:cs="Arial"/>
          <w:sz w:val="18"/>
          <w:szCs w:val="18"/>
        </w:rPr>
      </w:pPr>
      <w:r w:rsidRPr="005155AA">
        <w:rPr>
          <w:rFonts w:ascii="Arial" w:hAnsi="Arial" w:cs="Arial"/>
          <w:sz w:val="18"/>
          <w:szCs w:val="18"/>
        </w:rPr>
        <w:t xml:space="preserve">Voorliggende </w:t>
      </w:r>
      <w:r w:rsidR="00CF7D2E">
        <w:rPr>
          <w:rFonts w:ascii="Arial" w:hAnsi="Arial" w:cs="Arial"/>
          <w:sz w:val="18"/>
          <w:szCs w:val="18"/>
        </w:rPr>
        <w:t>guidance</w:t>
      </w:r>
      <w:r w:rsidRPr="005155AA">
        <w:rPr>
          <w:rFonts w:ascii="Arial" w:hAnsi="Arial" w:cs="Arial"/>
          <w:sz w:val="18"/>
          <w:szCs w:val="18"/>
        </w:rPr>
        <w:t xml:space="preserve"> gaat dieper in op de vraagstelling wat de </w:t>
      </w:r>
      <w:r w:rsidR="00576315" w:rsidRPr="005155AA">
        <w:rPr>
          <w:rFonts w:ascii="Arial" w:hAnsi="Arial" w:cs="Arial"/>
          <w:sz w:val="18"/>
          <w:szCs w:val="18"/>
        </w:rPr>
        <w:t>bedrijfs</w:t>
      </w:r>
      <w:r w:rsidRPr="005155AA">
        <w:rPr>
          <w:rFonts w:ascii="Arial" w:hAnsi="Arial" w:cs="Arial"/>
          <w:sz w:val="18"/>
          <w:szCs w:val="18"/>
        </w:rPr>
        <w:t>revisoren onder de notie</w:t>
      </w:r>
      <w:r w:rsidR="00414DF2" w:rsidRPr="005155AA">
        <w:rPr>
          <w:rFonts w:ascii="Arial" w:hAnsi="Arial" w:cs="Arial"/>
          <w:sz w:val="18"/>
          <w:szCs w:val="18"/>
        </w:rPr>
        <w:t xml:space="preserve"> “</w:t>
      </w:r>
      <w:r w:rsidR="00414DF2" w:rsidRPr="005155AA">
        <w:rPr>
          <w:rFonts w:ascii="Arial" w:hAnsi="Arial" w:cs="Arial"/>
          <w:i/>
          <w:sz w:val="18"/>
          <w:szCs w:val="18"/>
        </w:rPr>
        <w:t>vermelding dat de regels en principes van de codex zijn nageleefd</w:t>
      </w:r>
      <w:r w:rsidR="00414DF2" w:rsidRPr="005155AA">
        <w:rPr>
          <w:rFonts w:ascii="Arial" w:hAnsi="Arial" w:cs="Arial"/>
          <w:sz w:val="18"/>
          <w:szCs w:val="18"/>
        </w:rPr>
        <w:t>”</w:t>
      </w:r>
      <w:r w:rsidRPr="005155AA">
        <w:rPr>
          <w:rFonts w:ascii="Arial" w:hAnsi="Arial" w:cs="Arial"/>
          <w:sz w:val="18"/>
          <w:szCs w:val="18"/>
        </w:rPr>
        <w:t xml:space="preserve"> moeten verstaan en welke minimale controles de </w:t>
      </w:r>
      <w:r w:rsidR="00576315" w:rsidRPr="005155AA">
        <w:rPr>
          <w:rFonts w:ascii="Arial" w:hAnsi="Arial" w:cs="Arial"/>
          <w:sz w:val="18"/>
          <w:szCs w:val="18"/>
        </w:rPr>
        <w:t>bedrijfs</w:t>
      </w:r>
      <w:r w:rsidRPr="005155AA">
        <w:rPr>
          <w:rFonts w:ascii="Arial" w:hAnsi="Arial" w:cs="Arial"/>
          <w:sz w:val="18"/>
          <w:szCs w:val="18"/>
        </w:rPr>
        <w:t xml:space="preserve">revisoren in dit verband moeten uitvoeren. </w:t>
      </w:r>
    </w:p>
    <w:p w14:paraId="4EF74879" w14:textId="77777777" w:rsidR="00704B6F" w:rsidRPr="005155AA" w:rsidRDefault="00704B6F" w:rsidP="00704B6F">
      <w:pPr>
        <w:spacing w:after="0" w:line="240" w:lineRule="auto"/>
        <w:jc w:val="both"/>
        <w:rPr>
          <w:rFonts w:ascii="Arial" w:hAnsi="Arial" w:cs="Arial"/>
          <w:sz w:val="18"/>
          <w:szCs w:val="18"/>
        </w:rPr>
      </w:pPr>
    </w:p>
    <w:p w14:paraId="7FA427C4" w14:textId="72885167" w:rsidR="00CB6A3E" w:rsidRPr="005155AA" w:rsidRDefault="00973AAE" w:rsidP="00704B6F">
      <w:pPr>
        <w:jc w:val="both"/>
        <w:rPr>
          <w:rFonts w:ascii="Arial" w:hAnsi="Arial" w:cs="Arial"/>
          <w:color w:val="000000"/>
          <w:sz w:val="18"/>
          <w:szCs w:val="18"/>
        </w:rPr>
      </w:pPr>
      <w:r w:rsidRPr="005155AA">
        <w:rPr>
          <w:rFonts w:ascii="Arial" w:hAnsi="Arial" w:cs="Arial"/>
          <w:color w:val="000000"/>
          <w:sz w:val="18"/>
          <w:szCs w:val="18"/>
        </w:rPr>
        <w:t xml:space="preserve">Bij het toepassen van deze </w:t>
      </w:r>
      <w:r w:rsidR="00CF7D2E">
        <w:rPr>
          <w:rFonts w:ascii="Arial" w:hAnsi="Arial" w:cs="Arial"/>
          <w:color w:val="000000"/>
          <w:sz w:val="18"/>
          <w:szCs w:val="18"/>
        </w:rPr>
        <w:t>guidance</w:t>
      </w:r>
      <w:r w:rsidRPr="005155AA">
        <w:rPr>
          <w:rFonts w:ascii="Arial" w:hAnsi="Arial" w:cs="Arial"/>
          <w:color w:val="000000"/>
          <w:sz w:val="18"/>
          <w:szCs w:val="18"/>
        </w:rPr>
        <w:t xml:space="preserve"> zal u mogelijks bepaalde bemerkingen of reacties hebben. Met het oog op het aannemen van een latere norm in deze materie, kunnen deze ons overgemaakt worden op het volgend e-mailadres: </w:t>
      </w:r>
      <w:hyperlink r:id="rId12" w:history="1">
        <w:r w:rsidRPr="005155AA">
          <w:rPr>
            <w:rStyle w:val="Hyperlink"/>
            <w:rFonts w:ascii="Arial" w:hAnsi="Arial" w:cs="Arial"/>
            <w:sz w:val="18"/>
            <w:szCs w:val="18"/>
          </w:rPr>
          <w:t>tech@ibr-ire.be</w:t>
        </w:r>
      </w:hyperlink>
      <w:r w:rsidRPr="005155AA">
        <w:rPr>
          <w:rFonts w:ascii="Arial" w:hAnsi="Arial" w:cs="Arial"/>
          <w:color w:val="000000"/>
          <w:sz w:val="18"/>
          <w:szCs w:val="18"/>
        </w:rPr>
        <w:t xml:space="preserve">. </w:t>
      </w:r>
    </w:p>
    <w:p w14:paraId="579673ED" w14:textId="77777777" w:rsidR="006129BB" w:rsidRPr="005155AA" w:rsidRDefault="000566F5" w:rsidP="00704B6F">
      <w:pPr>
        <w:jc w:val="both"/>
        <w:rPr>
          <w:rFonts w:ascii="Arial" w:hAnsi="Arial" w:cs="Arial"/>
          <w:color w:val="000000"/>
          <w:sz w:val="18"/>
          <w:szCs w:val="18"/>
        </w:rPr>
      </w:pPr>
      <w:r w:rsidRPr="005155AA">
        <w:rPr>
          <w:rFonts w:ascii="Arial" w:hAnsi="Arial" w:cs="Arial"/>
          <w:color w:val="000000"/>
          <w:sz w:val="18"/>
          <w:szCs w:val="18"/>
        </w:rPr>
        <w:t>Tenslotte willen wij u erop wijzen dat het in een BV, door de reparatiewet van 28 april 2020</w:t>
      </w:r>
      <w:r w:rsidRPr="005155AA">
        <w:rPr>
          <w:rStyle w:val="FootnoteReference"/>
          <w:rFonts w:ascii="Arial" w:hAnsi="Arial" w:cs="Arial"/>
          <w:color w:val="000000"/>
          <w:sz w:val="18"/>
          <w:szCs w:val="18"/>
        </w:rPr>
        <w:footnoteReference w:id="1"/>
      </w:r>
      <w:r w:rsidRPr="005155AA">
        <w:rPr>
          <w:rFonts w:ascii="Arial" w:hAnsi="Arial" w:cs="Arial"/>
          <w:color w:val="000000"/>
          <w:sz w:val="18"/>
          <w:szCs w:val="18"/>
        </w:rPr>
        <w:t xml:space="preserve">, nu duidelijk is dat de procedure voor belangenconflicten door het bestuursorgaan niet moet worden toegepast bij het uitvoeren van de </w:t>
      </w:r>
      <w:r w:rsidR="00CF3933" w:rsidRPr="005155AA">
        <w:rPr>
          <w:rFonts w:ascii="Arial" w:hAnsi="Arial" w:cs="Arial"/>
          <w:color w:val="000000"/>
          <w:sz w:val="18"/>
          <w:szCs w:val="18"/>
        </w:rPr>
        <w:t>nettoactieftest</w:t>
      </w:r>
      <w:r w:rsidRPr="005155AA">
        <w:rPr>
          <w:rFonts w:ascii="Arial" w:hAnsi="Arial" w:cs="Arial"/>
          <w:color w:val="000000"/>
          <w:sz w:val="18"/>
          <w:szCs w:val="18"/>
        </w:rPr>
        <w:t>.</w:t>
      </w:r>
    </w:p>
    <w:sdt>
      <w:sdtPr>
        <w:rPr>
          <w:rFonts w:ascii="Arial" w:eastAsiaTheme="minorHAnsi" w:hAnsi="Arial" w:cs="Arial"/>
          <w:color w:val="auto"/>
          <w:sz w:val="18"/>
          <w:szCs w:val="18"/>
          <w:lang w:val="nl-BE"/>
        </w:rPr>
        <w:id w:val="-444545504"/>
        <w:docPartObj>
          <w:docPartGallery w:val="Table of Contents"/>
          <w:docPartUnique/>
        </w:docPartObj>
      </w:sdtPr>
      <w:sdtEndPr>
        <w:rPr>
          <w:b/>
          <w:bCs/>
          <w:noProof/>
        </w:rPr>
      </w:sdtEndPr>
      <w:sdtContent>
        <w:p w14:paraId="2B1B5DB1" w14:textId="77777777" w:rsidR="008B7E6B" w:rsidRDefault="008B7E6B">
          <w:pPr>
            <w:pStyle w:val="TOCHeading"/>
            <w:rPr>
              <w:rFonts w:ascii="Arial" w:eastAsiaTheme="minorHAnsi" w:hAnsi="Arial" w:cs="Arial"/>
              <w:color w:val="auto"/>
              <w:sz w:val="18"/>
              <w:szCs w:val="18"/>
              <w:lang w:val="nl-BE"/>
            </w:rPr>
          </w:pPr>
        </w:p>
        <w:p w14:paraId="3B94EBFD" w14:textId="77777777" w:rsidR="008B7E6B" w:rsidRDefault="008B7E6B">
          <w:pPr>
            <w:rPr>
              <w:rFonts w:ascii="Arial" w:hAnsi="Arial" w:cs="Arial"/>
              <w:sz w:val="18"/>
              <w:szCs w:val="18"/>
            </w:rPr>
          </w:pPr>
          <w:r>
            <w:rPr>
              <w:rFonts w:ascii="Arial" w:hAnsi="Arial" w:cs="Arial"/>
              <w:sz w:val="18"/>
              <w:szCs w:val="18"/>
            </w:rPr>
            <w:br w:type="page"/>
          </w:r>
        </w:p>
        <w:p w14:paraId="41EA3053" w14:textId="53E60D31" w:rsidR="0092637C" w:rsidRPr="005155AA" w:rsidRDefault="0092637C">
          <w:pPr>
            <w:pStyle w:val="TOCHeading"/>
            <w:rPr>
              <w:rFonts w:ascii="Arial" w:hAnsi="Arial" w:cs="Arial"/>
              <w:sz w:val="18"/>
              <w:szCs w:val="18"/>
            </w:rPr>
          </w:pPr>
          <w:proofErr w:type="spellStart"/>
          <w:r w:rsidRPr="005155AA">
            <w:rPr>
              <w:rFonts w:ascii="Arial" w:hAnsi="Arial" w:cs="Arial"/>
              <w:sz w:val="18"/>
              <w:szCs w:val="18"/>
            </w:rPr>
            <w:lastRenderedPageBreak/>
            <w:t>Inhoudstafel</w:t>
          </w:r>
          <w:proofErr w:type="spellEnd"/>
        </w:p>
        <w:p w14:paraId="504CC933" w14:textId="77777777" w:rsidR="0092637C" w:rsidRPr="00C33DA4" w:rsidRDefault="0092637C" w:rsidP="0092637C">
          <w:pPr>
            <w:rPr>
              <w:rFonts w:ascii="Arial" w:hAnsi="Arial" w:cs="Arial"/>
              <w:sz w:val="18"/>
              <w:szCs w:val="18"/>
              <w:lang w:val="en-US"/>
            </w:rPr>
          </w:pPr>
        </w:p>
        <w:p w14:paraId="2DD5FBB0" w14:textId="5DFF7B5E" w:rsidR="00C33DA4" w:rsidRPr="000D1534" w:rsidRDefault="0092637C">
          <w:pPr>
            <w:pStyle w:val="TOC1"/>
            <w:tabs>
              <w:tab w:val="right" w:leader="dot" w:pos="9060"/>
            </w:tabs>
            <w:rPr>
              <w:rFonts w:ascii="Arial" w:eastAsiaTheme="minorEastAsia" w:hAnsi="Arial" w:cs="Arial"/>
              <w:noProof/>
              <w:sz w:val="18"/>
              <w:szCs w:val="18"/>
              <w:lang w:eastAsia="nl-BE"/>
            </w:rPr>
          </w:pPr>
          <w:r w:rsidRPr="00C03B30">
            <w:rPr>
              <w:rFonts w:ascii="Arial" w:hAnsi="Arial" w:cs="Arial"/>
              <w:b/>
              <w:bCs/>
              <w:noProof/>
              <w:sz w:val="18"/>
              <w:szCs w:val="18"/>
            </w:rPr>
            <w:fldChar w:fldCharType="begin"/>
          </w:r>
          <w:r w:rsidRPr="00C33DA4">
            <w:rPr>
              <w:rFonts w:ascii="Arial" w:hAnsi="Arial" w:cs="Arial"/>
              <w:b/>
              <w:bCs/>
              <w:noProof/>
              <w:sz w:val="18"/>
              <w:szCs w:val="18"/>
            </w:rPr>
            <w:instrText xml:space="preserve"> TOC \o "1-3" \h \z \u </w:instrText>
          </w:r>
          <w:r w:rsidRPr="00C03B30">
            <w:rPr>
              <w:rFonts w:ascii="Arial" w:hAnsi="Arial" w:cs="Arial"/>
              <w:b/>
              <w:bCs/>
              <w:noProof/>
              <w:sz w:val="18"/>
              <w:szCs w:val="18"/>
            </w:rPr>
            <w:fldChar w:fldCharType="separate"/>
          </w:r>
          <w:hyperlink w:anchor="_Toc58500437" w:history="1">
            <w:r w:rsidR="00C33DA4" w:rsidRPr="000D1534">
              <w:rPr>
                <w:rStyle w:val="Hyperlink"/>
                <w:rFonts w:ascii="Arial" w:hAnsi="Arial" w:cs="Arial"/>
                <w:noProof/>
                <w:sz w:val="18"/>
                <w:szCs w:val="18"/>
              </w:rPr>
              <w:t>Voorafgaand</w:t>
            </w:r>
            <w:r w:rsidR="00C33DA4" w:rsidRPr="000D1534">
              <w:rPr>
                <w:rFonts w:ascii="Arial" w:hAnsi="Arial" w:cs="Arial"/>
                <w:noProof/>
                <w:webHidden/>
                <w:sz w:val="18"/>
                <w:szCs w:val="18"/>
              </w:rPr>
              <w:tab/>
            </w:r>
            <w:r w:rsidR="00C33DA4" w:rsidRPr="000D1534">
              <w:rPr>
                <w:rFonts w:ascii="Arial" w:hAnsi="Arial" w:cs="Arial"/>
                <w:noProof/>
                <w:webHidden/>
                <w:sz w:val="18"/>
                <w:szCs w:val="18"/>
              </w:rPr>
              <w:fldChar w:fldCharType="begin"/>
            </w:r>
            <w:r w:rsidR="00C33DA4" w:rsidRPr="000D1534">
              <w:rPr>
                <w:rFonts w:ascii="Arial" w:hAnsi="Arial" w:cs="Arial"/>
                <w:noProof/>
                <w:webHidden/>
                <w:sz w:val="18"/>
                <w:szCs w:val="18"/>
              </w:rPr>
              <w:instrText xml:space="preserve"> PAGEREF _Toc58500437 \h </w:instrText>
            </w:r>
            <w:r w:rsidR="00C33DA4" w:rsidRPr="000D1534">
              <w:rPr>
                <w:rFonts w:ascii="Arial" w:hAnsi="Arial" w:cs="Arial"/>
                <w:noProof/>
                <w:webHidden/>
                <w:sz w:val="18"/>
                <w:szCs w:val="18"/>
              </w:rPr>
            </w:r>
            <w:r w:rsidR="00C33DA4" w:rsidRPr="000D1534">
              <w:rPr>
                <w:rFonts w:ascii="Arial" w:hAnsi="Arial" w:cs="Arial"/>
                <w:noProof/>
                <w:webHidden/>
                <w:sz w:val="18"/>
                <w:szCs w:val="18"/>
              </w:rPr>
              <w:fldChar w:fldCharType="separate"/>
            </w:r>
            <w:r w:rsidR="00C33DA4" w:rsidRPr="000D1534">
              <w:rPr>
                <w:rFonts w:ascii="Arial" w:hAnsi="Arial" w:cs="Arial"/>
                <w:noProof/>
                <w:webHidden/>
                <w:sz w:val="18"/>
                <w:szCs w:val="18"/>
              </w:rPr>
              <w:t>1</w:t>
            </w:r>
            <w:r w:rsidR="00C33DA4" w:rsidRPr="000D1534">
              <w:rPr>
                <w:rFonts w:ascii="Arial" w:hAnsi="Arial" w:cs="Arial"/>
                <w:noProof/>
                <w:webHidden/>
                <w:sz w:val="18"/>
                <w:szCs w:val="18"/>
              </w:rPr>
              <w:fldChar w:fldCharType="end"/>
            </w:r>
          </w:hyperlink>
        </w:p>
        <w:p w14:paraId="05255453" w14:textId="1EFECA93" w:rsidR="00C33DA4" w:rsidRPr="000D1534" w:rsidRDefault="00B222D1">
          <w:pPr>
            <w:pStyle w:val="TOC1"/>
            <w:tabs>
              <w:tab w:val="right" w:leader="dot" w:pos="9060"/>
            </w:tabs>
            <w:rPr>
              <w:rFonts w:ascii="Arial" w:eastAsiaTheme="minorEastAsia" w:hAnsi="Arial" w:cs="Arial"/>
              <w:noProof/>
              <w:sz w:val="18"/>
              <w:szCs w:val="18"/>
              <w:lang w:eastAsia="nl-BE"/>
            </w:rPr>
          </w:pPr>
          <w:hyperlink w:anchor="_Toc58500438" w:history="1">
            <w:r w:rsidR="00C33DA4" w:rsidRPr="000D1534">
              <w:rPr>
                <w:rStyle w:val="Hyperlink"/>
                <w:rFonts w:ascii="Arial" w:hAnsi="Arial" w:cs="Arial"/>
                <w:noProof/>
                <w:sz w:val="18"/>
                <w:szCs w:val="18"/>
              </w:rPr>
              <w:t>1. Achtergrond</w:t>
            </w:r>
            <w:r w:rsidR="00C33DA4" w:rsidRPr="000D1534">
              <w:rPr>
                <w:rFonts w:ascii="Arial" w:hAnsi="Arial" w:cs="Arial"/>
                <w:noProof/>
                <w:webHidden/>
                <w:sz w:val="18"/>
                <w:szCs w:val="18"/>
              </w:rPr>
              <w:tab/>
            </w:r>
            <w:r w:rsidR="00C33DA4" w:rsidRPr="000D1534">
              <w:rPr>
                <w:rFonts w:ascii="Arial" w:hAnsi="Arial" w:cs="Arial"/>
                <w:noProof/>
                <w:webHidden/>
                <w:sz w:val="18"/>
                <w:szCs w:val="18"/>
              </w:rPr>
              <w:fldChar w:fldCharType="begin"/>
            </w:r>
            <w:r w:rsidR="00C33DA4" w:rsidRPr="000D1534">
              <w:rPr>
                <w:rFonts w:ascii="Arial" w:hAnsi="Arial" w:cs="Arial"/>
                <w:noProof/>
                <w:webHidden/>
                <w:sz w:val="18"/>
                <w:szCs w:val="18"/>
              </w:rPr>
              <w:instrText xml:space="preserve"> PAGEREF _Toc58500438 \h </w:instrText>
            </w:r>
            <w:r w:rsidR="00C33DA4" w:rsidRPr="000D1534">
              <w:rPr>
                <w:rFonts w:ascii="Arial" w:hAnsi="Arial" w:cs="Arial"/>
                <w:noProof/>
                <w:webHidden/>
                <w:sz w:val="18"/>
                <w:szCs w:val="18"/>
              </w:rPr>
            </w:r>
            <w:r w:rsidR="00C33DA4" w:rsidRPr="000D1534">
              <w:rPr>
                <w:rFonts w:ascii="Arial" w:hAnsi="Arial" w:cs="Arial"/>
                <w:noProof/>
                <w:webHidden/>
                <w:sz w:val="18"/>
                <w:szCs w:val="18"/>
              </w:rPr>
              <w:fldChar w:fldCharType="separate"/>
            </w:r>
            <w:r w:rsidR="00C33DA4" w:rsidRPr="000D1534">
              <w:rPr>
                <w:rFonts w:ascii="Arial" w:hAnsi="Arial" w:cs="Arial"/>
                <w:noProof/>
                <w:webHidden/>
                <w:sz w:val="18"/>
                <w:szCs w:val="18"/>
              </w:rPr>
              <w:t>2</w:t>
            </w:r>
            <w:r w:rsidR="00C33DA4" w:rsidRPr="000D1534">
              <w:rPr>
                <w:rFonts w:ascii="Arial" w:hAnsi="Arial" w:cs="Arial"/>
                <w:noProof/>
                <w:webHidden/>
                <w:sz w:val="18"/>
                <w:szCs w:val="18"/>
              </w:rPr>
              <w:fldChar w:fldCharType="end"/>
            </w:r>
          </w:hyperlink>
        </w:p>
        <w:p w14:paraId="0420AF46" w14:textId="51766294" w:rsidR="00C33DA4" w:rsidRPr="000D1534" w:rsidRDefault="00B222D1">
          <w:pPr>
            <w:pStyle w:val="TOC1"/>
            <w:tabs>
              <w:tab w:val="right" w:leader="dot" w:pos="9060"/>
            </w:tabs>
            <w:rPr>
              <w:rFonts w:ascii="Arial" w:eastAsiaTheme="minorEastAsia" w:hAnsi="Arial" w:cs="Arial"/>
              <w:noProof/>
              <w:sz w:val="18"/>
              <w:szCs w:val="18"/>
              <w:lang w:eastAsia="nl-BE"/>
            </w:rPr>
          </w:pPr>
          <w:hyperlink w:anchor="_Toc58500439" w:history="1">
            <w:r w:rsidR="00C33DA4" w:rsidRPr="000D1534">
              <w:rPr>
                <w:rStyle w:val="Hyperlink"/>
                <w:rFonts w:ascii="Arial" w:hAnsi="Arial" w:cs="Arial"/>
                <w:noProof/>
                <w:sz w:val="18"/>
                <w:szCs w:val="18"/>
              </w:rPr>
              <w:t>2. Wat wordt verstaan onder de naleving van de regels en principes van de codex</w:t>
            </w:r>
            <w:r w:rsidR="00C33DA4" w:rsidRPr="000D1534">
              <w:rPr>
                <w:rFonts w:ascii="Arial" w:hAnsi="Arial" w:cs="Arial"/>
                <w:noProof/>
                <w:webHidden/>
                <w:sz w:val="18"/>
                <w:szCs w:val="18"/>
              </w:rPr>
              <w:tab/>
            </w:r>
            <w:r w:rsidR="00C33DA4" w:rsidRPr="000D1534">
              <w:rPr>
                <w:rFonts w:ascii="Arial" w:hAnsi="Arial" w:cs="Arial"/>
                <w:noProof/>
                <w:webHidden/>
                <w:sz w:val="18"/>
                <w:szCs w:val="18"/>
              </w:rPr>
              <w:fldChar w:fldCharType="begin"/>
            </w:r>
            <w:r w:rsidR="00C33DA4" w:rsidRPr="000D1534">
              <w:rPr>
                <w:rFonts w:ascii="Arial" w:hAnsi="Arial" w:cs="Arial"/>
                <w:noProof/>
                <w:webHidden/>
                <w:sz w:val="18"/>
                <w:szCs w:val="18"/>
              </w:rPr>
              <w:instrText xml:space="preserve"> PAGEREF _Toc58500439 \h </w:instrText>
            </w:r>
            <w:r w:rsidR="00C33DA4" w:rsidRPr="000D1534">
              <w:rPr>
                <w:rFonts w:ascii="Arial" w:hAnsi="Arial" w:cs="Arial"/>
                <w:noProof/>
                <w:webHidden/>
                <w:sz w:val="18"/>
                <w:szCs w:val="18"/>
              </w:rPr>
            </w:r>
            <w:r w:rsidR="00C33DA4" w:rsidRPr="000D1534">
              <w:rPr>
                <w:rFonts w:ascii="Arial" w:hAnsi="Arial" w:cs="Arial"/>
                <w:noProof/>
                <w:webHidden/>
                <w:sz w:val="18"/>
                <w:szCs w:val="18"/>
              </w:rPr>
              <w:fldChar w:fldCharType="separate"/>
            </w:r>
            <w:r w:rsidR="00C33DA4" w:rsidRPr="000D1534">
              <w:rPr>
                <w:rFonts w:ascii="Arial" w:hAnsi="Arial" w:cs="Arial"/>
                <w:noProof/>
                <w:webHidden/>
                <w:sz w:val="18"/>
                <w:szCs w:val="18"/>
              </w:rPr>
              <w:t>2</w:t>
            </w:r>
            <w:r w:rsidR="00C33DA4" w:rsidRPr="000D1534">
              <w:rPr>
                <w:rFonts w:ascii="Arial" w:hAnsi="Arial" w:cs="Arial"/>
                <w:noProof/>
                <w:webHidden/>
                <w:sz w:val="18"/>
                <w:szCs w:val="18"/>
              </w:rPr>
              <w:fldChar w:fldCharType="end"/>
            </w:r>
          </w:hyperlink>
        </w:p>
        <w:p w14:paraId="74F0CFF7" w14:textId="666ACD54" w:rsidR="00C33DA4" w:rsidRPr="000D1534" w:rsidRDefault="00B222D1">
          <w:pPr>
            <w:pStyle w:val="TOC1"/>
            <w:tabs>
              <w:tab w:val="right" w:leader="dot" w:pos="9060"/>
            </w:tabs>
            <w:rPr>
              <w:rFonts w:ascii="Arial" w:eastAsiaTheme="minorEastAsia" w:hAnsi="Arial" w:cs="Arial"/>
              <w:noProof/>
              <w:sz w:val="18"/>
              <w:szCs w:val="18"/>
              <w:lang w:eastAsia="nl-BE"/>
            </w:rPr>
          </w:pPr>
          <w:hyperlink w:anchor="_Toc58500440" w:history="1">
            <w:r w:rsidR="00C33DA4" w:rsidRPr="000D1534">
              <w:rPr>
                <w:rStyle w:val="Hyperlink"/>
                <w:rFonts w:ascii="Arial" w:hAnsi="Arial" w:cs="Arial"/>
                <w:noProof/>
                <w:sz w:val="18"/>
                <w:szCs w:val="18"/>
              </w:rPr>
              <w:t>3.Welke zijn de minimale controles die de bedrijfsrevisor in dit verband moet uitvoeren?</w:t>
            </w:r>
            <w:r w:rsidR="00C33DA4" w:rsidRPr="000D1534">
              <w:rPr>
                <w:rFonts w:ascii="Arial" w:hAnsi="Arial" w:cs="Arial"/>
                <w:noProof/>
                <w:webHidden/>
                <w:sz w:val="18"/>
                <w:szCs w:val="18"/>
              </w:rPr>
              <w:tab/>
            </w:r>
            <w:r w:rsidR="00C33DA4" w:rsidRPr="000D1534">
              <w:rPr>
                <w:rFonts w:ascii="Arial" w:hAnsi="Arial" w:cs="Arial"/>
                <w:noProof/>
                <w:webHidden/>
                <w:sz w:val="18"/>
                <w:szCs w:val="18"/>
              </w:rPr>
              <w:fldChar w:fldCharType="begin"/>
            </w:r>
            <w:r w:rsidR="00C33DA4" w:rsidRPr="000D1534">
              <w:rPr>
                <w:rFonts w:ascii="Arial" w:hAnsi="Arial" w:cs="Arial"/>
                <w:noProof/>
                <w:webHidden/>
                <w:sz w:val="18"/>
                <w:szCs w:val="18"/>
              </w:rPr>
              <w:instrText xml:space="preserve"> PAGEREF _Toc58500440 \h </w:instrText>
            </w:r>
            <w:r w:rsidR="00C33DA4" w:rsidRPr="000D1534">
              <w:rPr>
                <w:rFonts w:ascii="Arial" w:hAnsi="Arial" w:cs="Arial"/>
                <w:noProof/>
                <w:webHidden/>
                <w:sz w:val="18"/>
                <w:szCs w:val="18"/>
              </w:rPr>
            </w:r>
            <w:r w:rsidR="00C33DA4" w:rsidRPr="000D1534">
              <w:rPr>
                <w:rFonts w:ascii="Arial" w:hAnsi="Arial" w:cs="Arial"/>
                <w:noProof/>
                <w:webHidden/>
                <w:sz w:val="18"/>
                <w:szCs w:val="18"/>
              </w:rPr>
              <w:fldChar w:fldCharType="separate"/>
            </w:r>
            <w:r w:rsidR="00C33DA4" w:rsidRPr="000D1534">
              <w:rPr>
                <w:rFonts w:ascii="Arial" w:hAnsi="Arial" w:cs="Arial"/>
                <w:noProof/>
                <w:webHidden/>
                <w:sz w:val="18"/>
                <w:szCs w:val="18"/>
              </w:rPr>
              <w:t>7</w:t>
            </w:r>
            <w:r w:rsidR="00C33DA4" w:rsidRPr="000D1534">
              <w:rPr>
                <w:rFonts w:ascii="Arial" w:hAnsi="Arial" w:cs="Arial"/>
                <w:noProof/>
                <w:webHidden/>
                <w:sz w:val="18"/>
                <w:szCs w:val="18"/>
              </w:rPr>
              <w:fldChar w:fldCharType="end"/>
            </w:r>
          </w:hyperlink>
        </w:p>
        <w:p w14:paraId="55673821" w14:textId="3A4CEA65" w:rsidR="00C33DA4" w:rsidRPr="000D1534" w:rsidRDefault="00B222D1">
          <w:pPr>
            <w:pStyle w:val="TOC1"/>
            <w:tabs>
              <w:tab w:val="right" w:leader="dot" w:pos="9060"/>
            </w:tabs>
            <w:rPr>
              <w:rFonts w:ascii="Arial" w:eastAsiaTheme="minorEastAsia" w:hAnsi="Arial" w:cs="Arial"/>
              <w:noProof/>
              <w:sz w:val="18"/>
              <w:szCs w:val="18"/>
              <w:lang w:eastAsia="nl-BE"/>
            </w:rPr>
          </w:pPr>
          <w:hyperlink w:anchor="_Toc58500441" w:history="1">
            <w:r w:rsidR="00C33DA4" w:rsidRPr="000D1534">
              <w:rPr>
                <w:rStyle w:val="Hyperlink"/>
                <w:rFonts w:ascii="Arial" w:hAnsi="Arial" w:cs="Arial"/>
                <w:noProof/>
                <w:sz w:val="18"/>
                <w:szCs w:val="18"/>
              </w:rPr>
              <w:t>Toepassing van het normatief kader voor de verslaggeving van de drie clusters</w:t>
            </w:r>
            <w:r w:rsidR="00C33DA4" w:rsidRPr="000D1534">
              <w:rPr>
                <w:rFonts w:ascii="Arial" w:hAnsi="Arial" w:cs="Arial"/>
                <w:noProof/>
                <w:webHidden/>
                <w:sz w:val="18"/>
                <w:szCs w:val="18"/>
              </w:rPr>
              <w:tab/>
            </w:r>
            <w:r w:rsidR="00C33DA4" w:rsidRPr="000D1534">
              <w:rPr>
                <w:rFonts w:ascii="Arial" w:hAnsi="Arial" w:cs="Arial"/>
                <w:noProof/>
                <w:webHidden/>
                <w:sz w:val="18"/>
                <w:szCs w:val="18"/>
              </w:rPr>
              <w:fldChar w:fldCharType="begin"/>
            </w:r>
            <w:r w:rsidR="00C33DA4" w:rsidRPr="000D1534">
              <w:rPr>
                <w:rFonts w:ascii="Arial" w:hAnsi="Arial" w:cs="Arial"/>
                <w:noProof/>
                <w:webHidden/>
                <w:sz w:val="18"/>
                <w:szCs w:val="18"/>
              </w:rPr>
              <w:instrText xml:space="preserve"> PAGEREF _Toc58500441 \h </w:instrText>
            </w:r>
            <w:r w:rsidR="00C33DA4" w:rsidRPr="000D1534">
              <w:rPr>
                <w:rFonts w:ascii="Arial" w:hAnsi="Arial" w:cs="Arial"/>
                <w:noProof/>
                <w:webHidden/>
                <w:sz w:val="18"/>
                <w:szCs w:val="18"/>
              </w:rPr>
            </w:r>
            <w:r w:rsidR="00C33DA4" w:rsidRPr="000D1534">
              <w:rPr>
                <w:rFonts w:ascii="Arial" w:hAnsi="Arial" w:cs="Arial"/>
                <w:noProof/>
                <w:webHidden/>
                <w:sz w:val="18"/>
                <w:szCs w:val="18"/>
              </w:rPr>
              <w:fldChar w:fldCharType="separate"/>
            </w:r>
            <w:r w:rsidR="00C33DA4" w:rsidRPr="000D1534">
              <w:rPr>
                <w:rFonts w:ascii="Arial" w:hAnsi="Arial" w:cs="Arial"/>
                <w:noProof/>
                <w:webHidden/>
                <w:sz w:val="18"/>
                <w:szCs w:val="18"/>
              </w:rPr>
              <w:t>7</w:t>
            </w:r>
            <w:r w:rsidR="00C33DA4" w:rsidRPr="000D1534">
              <w:rPr>
                <w:rFonts w:ascii="Arial" w:hAnsi="Arial" w:cs="Arial"/>
                <w:noProof/>
                <w:webHidden/>
                <w:sz w:val="18"/>
                <w:szCs w:val="18"/>
              </w:rPr>
              <w:fldChar w:fldCharType="end"/>
            </w:r>
          </w:hyperlink>
        </w:p>
        <w:p w14:paraId="7CD9F167" w14:textId="77777777" w:rsidR="0092637C" w:rsidRPr="005155AA" w:rsidRDefault="0092637C">
          <w:pPr>
            <w:rPr>
              <w:rFonts w:ascii="Arial" w:hAnsi="Arial" w:cs="Arial"/>
              <w:sz w:val="18"/>
              <w:szCs w:val="18"/>
            </w:rPr>
          </w:pPr>
          <w:r w:rsidRPr="00C03B30">
            <w:rPr>
              <w:rFonts w:ascii="Arial" w:hAnsi="Arial" w:cs="Arial"/>
              <w:b/>
              <w:bCs/>
              <w:noProof/>
              <w:sz w:val="18"/>
              <w:szCs w:val="18"/>
            </w:rPr>
            <w:fldChar w:fldCharType="end"/>
          </w:r>
        </w:p>
      </w:sdtContent>
    </w:sdt>
    <w:p w14:paraId="500EF0A2" w14:textId="77777777" w:rsidR="00BA6DAF" w:rsidRPr="005155AA" w:rsidRDefault="00E31EE6" w:rsidP="00AB77C7">
      <w:pPr>
        <w:pStyle w:val="Heading1"/>
        <w:spacing w:after="240"/>
        <w:ind w:left="709" w:hanging="709"/>
        <w:jc w:val="both"/>
        <w:rPr>
          <w:rFonts w:ascii="Arial" w:hAnsi="Arial" w:cs="Arial"/>
          <w:sz w:val="18"/>
          <w:szCs w:val="18"/>
        </w:rPr>
      </w:pPr>
      <w:bookmarkStart w:id="1" w:name="_Toc58500438"/>
      <w:r w:rsidRPr="005155AA">
        <w:rPr>
          <w:rFonts w:ascii="Arial" w:hAnsi="Arial" w:cs="Arial"/>
          <w:sz w:val="18"/>
          <w:szCs w:val="18"/>
        </w:rPr>
        <w:t xml:space="preserve">1. </w:t>
      </w:r>
      <w:r w:rsidR="00940931" w:rsidRPr="005155AA">
        <w:rPr>
          <w:rFonts w:ascii="Arial" w:hAnsi="Arial" w:cs="Arial"/>
          <w:sz w:val="18"/>
          <w:szCs w:val="18"/>
        </w:rPr>
        <w:t>Achtergrond</w:t>
      </w:r>
      <w:bookmarkEnd w:id="1"/>
    </w:p>
    <w:p w14:paraId="68324633" w14:textId="54EFE5B4" w:rsidR="00940931" w:rsidRPr="005155AA" w:rsidRDefault="00940931" w:rsidP="00216A33">
      <w:pPr>
        <w:pStyle w:val="ListParagraph"/>
        <w:numPr>
          <w:ilvl w:val="0"/>
          <w:numId w:val="2"/>
        </w:numPr>
        <w:ind w:left="426" w:hanging="426"/>
        <w:contextualSpacing w:val="0"/>
        <w:jc w:val="both"/>
        <w:rPr>
          <w:rFonts w:ascii="Arial" w:hAnsi="Arial" w:cs="Arial"/>
          <w:sz w:val="18"/>
          <w:szCs w:val="18"/>
        </w:rPr>
      </w:pPr>
      <w:r w:rsidRPr="005155AA">
        <w:rPr>
          <w:rFonts w:ascii="Arial" w:hAnsi="Arial" w:cs="Arial"/>
          <w:sz w:val="18"/>
          <w:szCs w:val="18"/>
        </w:rPr>
        <w:t xml:space="preserve">Deze </w:t>
      </w:r>
      <w:r w:rsidR="00CF7D2E">
        <w:rPr>
          <w:rFonts w:ascii="Arial" w:hAnsi="Arial" w:cs="Arial"/>
          <w:sz w:val="18"/>
          <w:szCs w:val="18"/>
        </w:rPr>
        <w:t>guidance</w:t>
      </w:r>
      <w:r w:rsidRPr="005155AA">
        <w:rPr>
          <w:rFonts w:ascii="Arial" w:hAnsi="Arial" w:cs="Arial"/>
          <w:sz w:val="18"/>
          <w:szCs w:val="18"/>
        </w:rPr>
        <w:t xml:space="preserve"> heeft betrekking </w:t>
      </w:r>
      <w:r w:rsidR="00FE13E8" w:rsidRPr="005155AA">
        <w:rPr>
          <w:rFonts w:ascii="Arial" w:hAnsi="Arial" w:cs="Arial"/>
          <w:sz w:val="18"/>
          <w:szCs w:val="18"/>
        </w:rPr>
        <w:t>op</w:t>
      </w:r>
      <w:r w:rsidR="00BF56C6" w:rsidRPr="005155AA">
        <w:rPr>
          <w:rFonts w:ascii="Arial" w:hAnsi="Arial" w:cs="Arial"/>
          <w:sz w:val="18"/>
          <w:szCs w:val="18"/>
        </w:rPr>
        <w:t xml:space="preserve"> wat de </w:t>
      </w:r>
      <w:r w:rsidR="00576315" w:rsidRPr="005155AA">
        <w:rPr>
          <w:rFonts w:ascii="Arial" w:hAnsi="Arial" w:cs="Arial"/>
          <w:sz w:val="18"/>
          <w:szCs w:val="18"/>
        </w:rPr>
        <w:t>bedrijfs</w:t>
      </w:r>
      <w:r w:rsidR="00BF56C6" w:rsidRPr="005155AA">
        <w:rPr>
          <w:rFonts w:ascii="Arial" w:hAnsi="Arial" w:cs="Arial"/>
          <w:sz w:val="18"/>
          <w:szCs w:val="18"/>
        </w:rPr>
        <w:t xml:space="preserve">revisoren onder de notie </w:t>
      </w:r>
      <w:r w:rsidR="005F0165" w:rsidRPr="005155AA">
        <w:rPr>
          <w:rFonts w:ascii="Arial" w:hAnsi="Arial" w:cs="Arial"/>
          <w:sz w:val="18"/>
          <w:szCs w:val="18"/>
        </w:rPr>
        <w:t>“</w:t>
      </w:r>
      <w:r w:rsidR="005F0165" w:rsidRPr="005155AA">
        <w:rPr>
          <w:rFonts w:ascii="Arial" w:hAnsi="Arial" w:cs="Arial"/>
          <w:i/>
          <w:sz w:val="18"/>
          <w:szCs w:val="18"/>
        </w:rPr>
        <w:t>vermelding dat de regels en principes van de codex zijn nageleefd</w:t>
      </w:r>
      <w:r w:rsidR="00BF56C6" w:rsidRPr="005155AA">
        <w:rPr>
          <w:rFonts w:ascii="Arial" w:hAnsi="Arial" w:cs="Arial"/>
          <w:i/>
          <w:iCs/>
          <w:sz w:val="18"/>
          <w:szCs w:val="18"/>
        </w:rPr>
        <w:t xml:space="preserve">” </w:t>
      </w:r>
      <w:r w:rsidR="00BF56C6" w:rsidRPr="005155AA">
        <w:rPr>
          <w:rFonts w:ascii="Arial" w:hAnsi="Arial" w:cs="Arial"/>
          <w:iCs/>
          <w:sz w:val="18"/>
          <w:szCs w:val="18"/>
        </w:rPr>
        <w:t xml:space="preserve">vervat in artikel 60, </w:t>
      </w:r>
      <w:r w:rsidR="00AD736D" w:rsidRPr="005155AA">
        <w:rPr>
          <w:rFonts w:ascii="Arial" w:hAnsi="Arial" w:cs="Arial"/>
          <w:iCs/>
          <w:sz w:val="18"/>
          <w:szCs w:val="18"/>
        </w:rPr>
        <w:t xml:space="preserve">tweede lid, </w:t>
      </w:r>
      <w:r w:rsidR="00BF56C6" w:rsidRPr="005155AA">
        <w:rPr>
          <w:rFonts w:ascii="Arial" w:hAnsi="Arial" w:cs="Arial"/>
          <w:iCs/>
          <w:sz w:val="18"/>
          <w:szCs w:val="18"/>
        </w:rPr>
        <w:t xml:space="preserve">3° van het BVCO van 17 mei 2019 </w:t>
      </w:r>
      <w:r w:rsidR="00BF56C6" w:rsidRPr="005155AA">
        <w:rPr>
          <w:rFonts w:ascii="Arial" w:hAnsi="Arial" w:cs="Arial"/>
          <w:sz w:val="18"/>
          <w:szCs w:val="18"/>
        </w:rPr>
        <w:t xml:space="preserve">moeten verstaan en welke minimale controles de </w:t>
      </w:r>
      <w:r w:rsidR="00576315" w:rsidRPr="005155AA">
        <w:rPr>
          <w:rFonts w:ascii="Arial" w:hAnsi="Arial" w:cs="Arial"/>
          <w:sz w:val="18"/>
          <w:szCs w:val="18"/>
        </w:rPr>
        <w:t>bedrijfs</w:t>
      </w:r>
      <w:r w:rsidR="00BF56C6" w:rsidRPr="005155AA">
        <w:rPr>
          <w:rFonts w:ascii="Arial" w:hAnsi="Arial" w:cs="Arial"/>
          <w:sz w:val="18"/>
          <w:szCs w:val="18"/>
        </w:rPr>
        <w:t>revisoren in dit verband moeten uitvoeren.</w:t>
      </w:r>
    </w:p>
    <w:p w14:paraId="6BBBFA13" w14:textId="77777777" w:rsidR="00CE160E" w:rsidRPr="005155AA" w:rsidRDefault="00940931">
      <w:pPr>
        <w:pStyle w:val="ListParagraph"/>
        <w:numPr>
          <w:ilvl w:val="0"/>
          <w:numId w:val="2"/>
        </w:numPr>
        <w:ind w:left="426" w:hanging="426"/>
        <w:contextualSpacing w:val="0"/>
        <w:jc w:val="both"/>
        <w:rPr>
          <w:rFonts w:ascii="Arial" w:hAnsi="Arial" w:cs="Arial"/>
          <w:sz w:val="18"/>
          <w:szCs w:val="18"/>
        </w:rPr>
      </w:pPr>
      <w:r w:rsidRPr="005155AA">
        <w:rPr>
          <w:rFonts w:ascii="Arial" w:hAnsi="Arial" w:cs="Arial"/>
          <w:sz w:val="18"/>
          <w:szCs w:val="18"/>
        </w:rPr>
        <w:t xml:space="preserve">Voor deze </w:t>
      </w:r>
      <w:r w:rsidR="00BF56C6" w:rsidRPr="005155AA">
        <w:rPr>
          <w:rFonts w:ascii="Arial" w:hAnsi="Arial" w:cs="Arial"/>
          <w:sz w:val="18"/>
          <w:szCs w:val="18"/>
        </w:rPr>
        <w:t>vraagstelling</w:t>
      </w:r>
      <w:r w:rsidRPr="005155AA">
        <w:rPr>
          <w:rFonts w:ascii="Arial" w:hAnsi="Arial" w:cs="Arial"/>
          <w:sz w:val="18"/>
          <w:szCs w:val="18"/>
        </w:rPr>
        <w:t xml:space="preserve"> werd tot op heden nog geen norm ontwikkeld door het IBR.</w:t>
      </w:r>
      <w:bookmarkStart w:id="2" w:name="_Hlk532236657"/>
      <w:r w:rsidR="00216A33" w:rsidRPr="005155AA">
        <w:rPr>
          <w:rFonts w:ascii="Arial" w:hAnsi="Arial" w:cs="Arial"/>
          <w:sz w:val="18"/>
          <w:szCs w:val="18"/>
        </w:rPr>
        <w:t xml:space="preserve"> </w:t>
      </w:r>
      <w:bookmarkEnd w:id="2"/>
    </w:p>
    <w:p w14:paraId="2575AC28" w14:textId="0BCAA7B4" w:rsidR="00CE160E" w:rsidRPr="005155AA" w:rsidRDefault="00CE160E" w:rsidP="00CD4207">
      <w:pPr>
        <w:pStyle w:val="Heading1"/>
        <w:spacing w:after="240"/>
        <w:ind w:left="709" w:hanging="709"/>
        <w:jc w:val="both"/>
        <w:rPr>
          <w:rFonts w:ascii="Arial" w:hAnsi="Arial" w:cs="Arial"/>
          <w:sz w:val="18"/>
          <w:szCs w:val="18"/>
        </w:rPr>
      </w:pPr>
      <w:bookmarkStart w:id="3" w:name="_Toc58500439"/>
      <w:r w:rsidRPr="005155AA">
        <w:rPr>
          <w:rFonts w:ascii="Arial" w:hAnsi="Arial" w:cs="Arial"/>
          <w:sz w:val="18"/>
          <w:szCs w:val="18"/>
        </w:rPr>
        <w:t xml:space="preserve">2. </w:t>
      </w:r>
      <w:r w:rsidR="00127972" w:rsidRPr="005155AA">
        <w:rPr>
          <w:rFonts w:ascii="Arial" w:hAnsi="Arial" w:cs="Arial"/>
          <w:sz w:val="18"/>
          <w:szCs w:val="18"/>
        </w:rPr>
        <w:t xml:space="preserve">Wat wordt verstaan onder </w:t>
      </w:r>
      <w:r w:rsidR="003107DC" w:rsidRPr="005155AA">
        <w:rPr>
          <w:rFonts w:ascii="Arial" w:hAnsi="Arial" w:cs="Arial"/>
          <w:sz w:val="18"/>
          <w:szCs w:val="18"/>
        </w:rPr>
        <w:t xml:space="preserve">de </w:t>
      </w:r>
      <w:r w:rsidR="00127972" w:rsidRPr="005155AA">
        <w:rPr>
          <w:rFonts w:ascii="Arial" w:hAnsi="Arial" w:cs="Arial"/>
          <w:sz w:val="18"/>
          <w:szCs w:val="18"/>
        </w:rPr>
        <w:t xml:space="preserve">naleving van de </w:t>
      </w:r>
      <w:r w:rsidR="005F0165" w:rsidRPr="005155AA">
        <w:rPr>
          <w:rFonts w:ascii="Arial" w:hAnsi="Arial" w:cs="Arial"/>
          <w:sz w:val="18"/>
          <w:szCs w:val="18"/>
        </w:rPr>
        <w:t>regels en principes van de codex</w:t>
      </w:r>
      <w:bookmarkEnd w:id="3"/>
    </w:p>
    <w:p w14:paraId="2E5A3ABF" w14:textId="5F249E71" w:rsidR="00216A33" w:rsidRPr="005155AA" w:rsidRDefault="003909CE" w:rsidP="00AB77C7">
      <w:pPr>
        <w:pStyle w:val="ListParagraph"/>
        <w:numPr>
          <w:ilvl w:val="0"/>
          <w:numId w:val="2"/>
        </w:numPr>
        <w:ind w:left="426" w:hanging="426"/>
        <w:contextualSpacing w:val="0"/>
        <w:jc w:val="both"/>
        <w:rPr>
          <w:rFonts w:ascii="Arial" w:hAnsi="Arial" w:cs="Arial"/>
          <w:sz w:val="18"/>
          <w:szCs w:val="18"/>
        </w:rPr>
      </w:pPr>
      <w:bookmarkStart w:id="4" w:name="_Hlk14074211"/>
      <w:r w:rsidRPr="005155AA">
        <w:rPr>
          <w:rFonts w:ascii="Arial" w:hAnsi="Arial" w:cs="Arial"/>
          <w:sz w:val="18"/>
          <w:szCs w:val="18"/>
        </w:rPr>
        <w:t xml:space="preserve">Teneinde de </w:t>
      </w:r>
      <w:r w:rsidRPr="005155AA">
        <w:rPr>
          <w:rFonts w:ascii="Arial" w:hAnsi="Arial" w:cs="Arial"/>
          <w:i/>
          <w:iCs/>
          <w:sz w:val="18"/>
          <w:szCs w:val="18"/>
        </w:rPr>
        <w:t>compliance</w:t>
      </w:r>
      <w:r w:rsidRPr="005155AA">
        <w:rPr>
          <w:rFonts w:ascii="Arial" w:hAnsi="Arial" w:cs="Arial"/>
          <w:sz w:val="18"/>
          <w:szCs w:val="18"/>
        </w:rPr>
        <w:t xml:space="preserve"> na te gaan van </w:t>
      </w:r>
      <w:r w:rsidR="00BF1F70" w:rsidRPr="005155AA">
        <w:rPr>
          <w:rFonts w:ascii="Arial" w:hAnsi="Arial" w:cs="Arial"/>
          <w:sz w:val="18"/>
          <w:szCs w:val="18"/>
        </w:rPr>
        <w:t>de</w:t>
      </w:r>
      <w:r w:rsidRPr="005155AA">
        <w:rPr>
          <w:rFonts w:ascii="Arial" w:hAnsi="Arial" w:cs="Arial"/>
          <w:sz w:val="18"/>
          <w:szCs w:val="18"/>
        </w:rPr>
        <w:t xml:space="preserve"> Vlaamse rechtspersoon met bovenstaande wetgeving werd voorliggende </w:t>
      </w:r>
      <w:r w:rsidR="00CF7D2E">
        <w:rPr>
          <w:rFonts w:ascii="Arial" w:hAnsi="Arial" w:cs="Arial"/>
          <w:sz w:val="18"/>
          <w:szCs w:val="18"/>
        </w:rPr>
        <w:t>guidance</w:t>
      </w:r>
      <w:r w:rsidRPr="005155AA">
        <w:rPr>
          <w:rFonts w:ascii="Arial" w:hAnsi="Arial" w:cs="Arial"/>
          <w:sz w:val="18"/>
          <w:szCs w:val="18"/>
        </w:rPr>
        <w:t xml:space="preserve"> ontwikkeld</w:t>
      </w:r>
      <w:r w:rsidR="00B040DE" w:rsidRPr="005155AA">
        <w:rPr>
          <w:rFonts w:ascii="Arial" w:hAnsi="Arial" w:cs="Arial"/>
          <w:sz w:val="18"/>
          <w:szCs w:val="18"/>
        </w:rPr>
        <w:t xml:space="preserve">. Dit </w:t>
      </w:r>
      <w:r w:rsidRPr="005155AA">
        <w:rPr>
          <w:rFonts w:ascii="Arial" w:hAnsi="Arial" w:cs="Arial"/>
          <w:sz w:val="18"/>
          <w:szCs w:val="18"/>
        </w:rPr>
        <w:t>betreft bijgevolg enkel de bepalingen van toepassing op rechtspersonen. De bepalingen van toepassing op administratie worden buiten beschouwing gelaten.</w:t>
      </w:r>
      <w:bookmarkEnd w:id="4"/>
      <w:r w:rsidRPr="005155AA">
        <w:rPr>
          <w:rFonts w:ascii="Arial" w:hAnsi="Arial" w:cs="Arial"/>
          <w:sz w:val="18"/>
          <w:szCs w:val="18"/>
        </w:rPr>
        <w:t xml:space="preserve"> </w:t>
      </w:r>
    </w:p>
    <w:p w14:paraId="568C7E69" w14:textId="4C6D8A58" w:rsidR="005F0165" w:rsidRPr="005155AA" w:rsidRDefault="005F0165" w:rsidP="00BF1F70">
      <w:pPr>
        <w:pStyle w:val="ListParagraph"/>
        <w:numPr>
          <w:ilvl w:val="0"/>
          <w:numId w:val="2"/>
        </w:numPr>
        <w:ind w:left="426"/>
        <w:contextualSpacing w:val="0"/>
        <w:jc w:val="both"/>
        <w:rPr>
          <w:rFonts w:ascii="Arial" w:hAnsi="Arial" w:cs="Arial"/>
          <w:sz w:val="18"/>
          <w:szCs w:val="18"/>
        </w:rPr>
      </w:pPr>
      <w:r w:rsidRPr="005155AA">
        <w:rPr>
          <w:rFonts w:ascii="Arial" w:hAnsi="Arial" w:cs="Arial"/>
          <w:sz w:val="18"/>
          <w:szCs w:val="18"/>
        </w:rPr>
        <w:t xml:space="preserve">Er kan </w:t>
      </w:r>
      <w:r w:rsidR="00274112" w:rsidRPr="005155AA">
        <w:rPr>
          <w:rFonts w:ascii="Arial" w:hAnsi="Arial" w:cs="Arial"/>
          <w:sz w:val="18"/>
          <w:szCs w:val="18"/>
        </w:rPr>
        <w:t xml:space="preserve">algemeen </w:t>
      </w:r>
      <w:r w:rsidRPr="005155AA">
        <w:rPr>
          <w:rFonts w:ascii="Arial" w:hAnsi="Arial" w:cs="Arial"/>
          <w:sz w:val="18"/>
          <w:szCs w:val="18"/>
        </w:rPr>
        <w:t>worden aangenomen dat de Vlaamse regelgever met de notie “</w:t>
      </w:r>
      <w:r w:rsidRPr="005155AA">
        <w:rPr>
          <w:rFonts w:ascii="Arial" w:hAnsi="Arial" w:cs="Arial"/>
          <w:i/>
          <w:sz w:val="18"/>
          <w:szCs w:val="18"/>
        </w:rPr>
        <w:t>vermelding dat de regels en principes van de codex zijn nageleefd</w:t>
      </w:r>
      <w:r w:rsidRPr="005155AA">
        <w:rPr>
          <w:rFonts w:ascii="Arial" w:hAnsi="Arial" w:cs="Arial"/>
          <w:i/>
          <w:iCs/>
          <w:sz w:val="18"/>
          <w:szCs w:val="18"/>
        </w:rPr>
        <w:t xml:space="preserve">” </w:t>
      </w:r>
      <w:r w:rsidRPr="005155AA">
        <w:rPr>
          <w:rFonts w:ascii="Arial" w:hAnsi="Arial" w:cs="Arial"/>
          <w:iCs/>
          <w:sz w:val="18"/>
          <w:szCs w:val="18"/>
        </w:rPr>
        <w:t xml:space="preserve">meer bepaald de </w:t>
      </w:r>
      <w:r w:rsidRPr="005155AA">
        <w:rPr>
          <w:rFonts w:ascii="Arial" w:hAnsi="Arial" w:cs="Arial"/>
          <w:sz w:val="18"/>
          <w:szCs w:val="18"/>
        </w:rPr>
        <w:t>naleving van de relevante regels en principes van hoofdstukken 2 tot en met 6 van de VCO en het BVCO van 17 mei 2019 bedoelt.</w:t>
      </w:r>
      <w:r w:rsidR="00BE2F8D">
        <w:rPr>
          <w:rFonts w:ascii="Arial" w:hAnsi="Arial" w:cs="Arial"/>
          <w:sz w:val="18"/>
          <w:szCs w:val="18"/>
        </w:rPr>
        <w:t xml:space="preserve"> Daarenboven is te noteren dat ook de artikelen 3-6, alsmede de artikelen 8 en 9 van de VCO</w:t>
      </w:r>
      <w:r w:rsidR="001D3911">
        <w:rPr>
          <w:rFonts w:ascii="Arial" w:hAnsi="Arial" w:cs="Arial"/>
          <w:sz w:val="18"/>
          <w:szCs w:val="18"/>
        </w:rPr>
        <w:t>, die het toepassingsgebied van de VCO bepalen,</w:t>
      </w:r>
      <w:r w:rsidR="00BE2F8D">
        <w:rPr>
          <w:rFonts w:ascii="Arial" w:hAnsi="Arial" w:cs="Arial"/>
          <w:sz w:val="18"/>
          <w:szCs w:val="18"/>
        </w:rPr>
        <w:t xml:space="preserve"> dienen te worden nageleefd.</w:t>
      </w:r>
      <w:r w:rsidRPr="005155AA">
        <w:rPr>
          <w:rFonts w:ascii="Arial" w:hAnsi="Arial" w:cs="Arial"/>
          <w:sz w:val="18"/>
          <w:szCs w:val="18"/>
        </w:rPr>
        <w:t xml:space="preserve">In het vervolg van de voorliggende </w:t>
      </w:r>
      <w:r w:rsidR="00CF7D2E">
        <w:rPr>
          <w:rFonts w:ascii="Arial" w:hAnsi="Arial" w:cs="Arial"/>
          <w:sz w:val="18"/>
          <w:szCs w:val="18"/>
        </w:rPr>
        <w:t xml:space="preserve">guidance </w:t>
      </w:r>
      <w:r w:rsidRPr="005155AA">
        <w:rPr>
          <w:rFonts w:ascii="Arial" w:hAnsi="Arial" w:cs="Arial"/>
          <w:sz w:val="18"/>
          <w:szCs w:val="18"/>
        </w:rPr>
        <w:t>zal</w:t>
      </w:r>
      <w:r w:rsidR="00BE2F8D">
        <w:rPr>
          <w:rFonts w:ascii="Arial" w:hAnsi="Arial" w:cs="Arial"/>
          <w:sz w:val="18"/>
          <w:szCs w:val="18"/>
        </w:rPr>
        <w:t xml:space="preserve"> echter</w:t>
      </w:r>
      <w:r w:rsidRPr="005155AA">
        <w:rPr>
          <w:rFonts w:ascii="Arial" w:hAnsi="Arial" w:cs="Arial"/>
          <w:sz w:val="18"/>
          <w:szCs w:val="18"/>
        </w:rPr>
        <w:t xml:space="preserve"> </w:t>
      </w:r>
      <w:r w:rsidR="00BE2F8D">
        <w:rPr>
          <w:rFonts w:ascii="Arial" w:hAnsi="Arial" w:cs="Arial"/>
          <w:sz w:val="18"/>
          <w:szCs w:val="18"/>
        </w:rPr>
        <w:t xml:space="preserve">voor de eenvoud </w:t>
      </w:r>
      <w:r w:rsidRPr="005155AA">
        <w:rPr>
          <w:rFonts w:ascii="Arial" w:hAnsi="Arial" w:cs="Arial"/>
          <w:sz w:val="18"/>
          <w:szCs w:val="18"/>
        </w:rPr>
        <w:t>telkens de notie “</w:t>
      </w:r>
      <w:r w:rsidRPr="005155AA">
        <w:rPr>
          <w:rFonts w:ascii="Arial" w:hAnsi="Arial" w:cs="Arial"/>
          <w:i/>
          <w:iCs/>
          <w:sz w:val="18"/>
          <w:szCs w:val="18"/>
        </w:rPr>
        <w:t>vermelding dat de relevante regels en principes van de hoofdstukken 2 tot en met  6 van de codex (VCO) en van het BVR ter uitvoering van de VCO</w:t>
      </w:r>
      <w:r w:rsidR="00753F81">
        <w:rPr>
          <w:rFonts w:ascii="Arial" w:hAnsi="Arial" w:cs="Arial"/>
          <w:i/>
          <w:iCs/>
          <w:sz w:val="18"/>
          <w:szCs w:val="18"/>
        </w:rPr>
        <w:t xml:space="preserve"> (BVCO)</w:t>
      </w:r>
      <w:r w:rsidRPr="005155AA">
        <w:rPr>
          <w:rFonts w:ascii="Arial" w:hAnsi="Arial" w:cs="Arial"/>
          <w:i/>
          <w:iCs/>
          <w:sz w:val="18"/>
          <w:szCs w:val="18"/>
        </w:rPr>
        <w:t xml:space="preserve"> zijn nageleefd”</w:t>
      </w:r>
      <w:r w:rsidRPr="005155AA">
        <w:rPr>
          <w:rFonts w:ascii="Arial" w:hAnsi="Arial" w:cs="Arial"/>
          <w:iCs/>
          <w:sz w:val="18"/>
          <w:szCs w:val="18"/>
        </w:rPr>
        <w:t xml:space="preserve"> worden gehanteerd.</w:t>
      </w:r>
    </w:p>
    <w:p w14:paraId="66DA77DB" w14:textId="77777777" w:rsidR="00596805" w:rsidRPr="005155AA" w:rsidRDefault="003909CE" w:rsidP="00BF1F70">
      <w:pPr>
        <w:pStyle w:val="ListParagraph"/>
        <w:numPr>
          <w:ilvl w:val="0"/>
          <w:numId w:val="2"/>
        </w:numPr>
        <w:ind w:left="426"/>
        <w:contextualSpacing w:val="0"/>
        <w:jc w:val="both"/>
        <w:rPr>
          <w:rFonts w:ascii="Arial" w:hAnsi="Arial" w:cs="Arial"/>
          <w:sz w:val="18"/>
          <w:szCs w:val="18"/>
        </w:rPr>
      </w:pPr>
      <w:r w:rsidRPr="005155AA">
        <w:rPr>
          <w:rFonts w:ascii="Arial" w:hAnsi="Arial" w:cs="Arial"/>
          <w:sz w:val="18"/>
          <w:szCs w:val="18"/>
        </w:rPr>
        <w:t xml:space="preserve">Een Vlaamse rechtspersoon </w:t>
      </w:r>
      <w:r w:rsidR="00B040DE" w:rsidRPr="005155AA">
        <w:rPr>
          <w:rFonts w:ascii="Arial" w:hAnsi="Arial" w:cs="Arial"/>
          <w:sz w:val="18"/>
          <w:szCs w:val="18"/>
        </w:rPr>
        <w:t xml:space="preserve">is </w:t>
      </w:r>
      <w:r w:rsidR="00B040DE" w:rsidRPr="005155AA">
        <w:rPr>
          <w:rFonts w:ascii="Arial" w:hAnsi="Arial" w:cs="Arial"/>
          <w:i/>
          <w:iCs/>
          <w:sz w:val="18"/>
          <w:szCs w:val="18"/>
        </w:rPr>
        <w:t>compliant</w:t>
      </w:r>
      <w:r w:rsidR="00B040DE" w:rsidRPr="005155AA">
        <w:rPr>
          <w:rFonts w:ascii="Arial" w:hAnsi="Arial" w:cs="Arial"/>
          <w:sz w:val="18"/>
          <w:szCs w:val="18"/>
        </w:rPr>
        <w:t xml:space="preserve"> met de relevante regels en principes van hoofdstukken 2 tot en met 6 van de VCO en het BVCO van 17 mei 2019 zoals bepaald in artikel 60 van het BVCO van 17 mei 2019,</w:t>
      </w:r>
      <w:r w:rsidRPr="005155AA">
        <w:rPr>
          <w:rFonts w:ascii="Arial" w:hAnsi="Arial" w:cs="Arial"/>
          <w:sz w:val="18"/>
          <w:szCs w:val="18"/>
        </w:rPr>
        <w:t xml:space="preserve"> indien de Vlaamse rechtspersoon de </w:t>
      </w:r>
      <w:r w:rsidR="00BF4D0F" w:rsidRPr="005155AA">
        <w:rPr>
          <w:rFonts w:ascii="Arial" w:hAnsi="Arial" w:cs="Arial"/>
          <w:sz w:val="18"/>
          <w:szCs w:val="18"/>
        </w:rPr>
        <w:t xml:space="preserve">volgende bepalingen naleeft, zoals hieronder weergegeven in de </w:t>
      </w:r>
      <w:r w:rsidR="000F6733" w:rsidRPr="005155AA">
        <w:rPr>
          <w:rFonts w:ascii="Arial" w:hAnsi="Arial" w:cs="Arial"/>
          <w:i/>
          <w:sz w:val="18"/>
          <w:szCs w:val="18"/>
        </w:rPr>
        <w:t>compliance checklist</w:t>
      </w:r>
      <w:r w:rsidR="000F6733" w:rsidRPr="005155AA">
        <w:rPr>
          <w:rFonts w:ascii="Arial" w:hAnsi="Arial" w:cs="Arial"/>
          <w:sz w:val="18"/>
          <w:szCs w:val="18"/>
        </w:rPr>
        <w:t>:</w:t>
      </w:r>
    </w:p>
    <w:tbl>
      <w:tblPr>
        <w:tblW w:w="0" w:type="auto"/>
        <w:tblCellMar>
          <w:left w:w="70" w:type="dxa"/>
          <w:right w:w="70" w:type="dxa"/>
        </w:tblCellMar>
        <w:tblLook w:val="04A0" w:firstRow="1" w:lastRow="0" w:firstColumn="1" w:lastColumn="0" w:noHBand="0" w:noVBand="1"/>
      </w:tblPr>
      <w:tblGrid>
        <w:gridCol w:w="2308"/>
        <w:gridCol w:w="3645"/>
        <w:gridCol w:w="1521"/>
        <w:gridCol w:w="1586"/>
      </w:tblGrid>
      <w:tr w:rsidR="00596805" w:rsidRPr="00F01797" w14:paraId="26F16680" w14:textId="77777777" w:rsidTr="000D1534">
        <w:trPr>
          <w:trHeight w:val="1800"/>
        </w:trPr>
        <w:tc>
          <w:tcPr>
            <w:tcW w:w="2375"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6634F41C" w14:textId="77777777" w:rsidR="00596805" w:rsidRPr="005155AA" w:rsidRDefault="00596805" w:rsidP="00596805">
            <w:pPr>
              <w:spacing w:after="0" w:line="240" w:lineRule="auto"/>
              <w:jc w:val="center"/>
              <w:rPr>
                <w:rFonts w:ascii="Arial" w:eastAsia="Times New Roman" w:hAnsi="Arial" w:cs="Arial"/>
                <w:b/>
                <w:bCs/>
                <w:color w:val="000000"/>
                <w:sz w:val="18"/>
                <w:szCs w:val="18"/>
                <w:lang w:eastAsia="nl-BE"/>
              </w:rPr>
            </w:pPr>
            <w:r w:rsidRPr="005155AA">
              <w:rPr>
                <w:rFonts w:ascii="Arial" w:eastAsia="Times New Roman" w:hAnsi="Arial" w:cs="Arial"/>
                <w:b/>
                <w:bCs/>
                <w:color w:val="000000"/>
                <w:sz w:val="18"/>
                <w:szCs w:val="18"/>
                <w:lang w:eastAsia="nl-BE"/>
              </w:rPr>
              <w:t>Rubriek</w:t>
            </w:r>
          </w:p>
        </w:tc>
        <w:tc>
          <w:tcPr>
            <w:tcW w:w="3490" w:type="dxa"/>
            <w:tcBorders>
              <w:top w:val="single" w:sz="4" w:space="0" w:color="auto"/>
              <w:left w:val="nil"/>
              <w:bottom w:val="single" w:sz="4" w:space="0" w:color="auto"/>
              <w:right w:val="single" w:sz="4" w:space="0" w:color="auto"/>
            </w:tcBorders>
            <w:shd w:val="clear" w:color="000000" w:fill="DDEBF7"/>
            <w:noWrap/>
            <w:vAlign w:val="center"/>
            <w:hideMark/>
          </w:tcPr>
          <w:p w14:paraId="1885B110" w14:textId="77777777" w:rsidR="00596805" w:rsidRPr="005155AA" w:rsidRDefault="00596805" w:rsidP="00596805">
            <w:pPr>
              <w:spacing w:after="0" w:line="240" w:lineRule="auto"/>
              <w:jc w:val="center"/>
              <w:rPr>
                <w:rFonts w:ascii="Arial" w:eastAsia="Times New Roman" w:hAnsi="Arial" w:cs="Arial"/>
                <w:b/>
                <w:bCs/>
                <w:color w:val="000000"/>
                <w:sz w:val="18"/>
                <w:szCs w:val="18"/>
                <w:lang w:eastAsia="nl-BE"/>
              </w:rPr>
            </w:pPr>
            <w:r w:rsidRPr="005155AA">
              <w:rPr>
                <w:rFonts w:ascii="Arial" w:eastAsia="Times New Roman" w:hAnsi="Arial" w:cs="Arial"/>
                <w:b/>
                <w:bCs/>
                <w:color w:val="000000"/>
                <w:sz w:val="18"/>
                <w:szCs w:val="18"/>
                <w:lang w:eastAsia="nl-BE"/>
              </w:rPr>
              <w:t>Bepaling</w:t>
            </w:r>
          </w:p>
        </w:tc>
        <w:tc>
          <w:tcPr>
            <w:tcW w:w="1564" w:type="dxa"/>
            <w:tcBorders>
              <w:top w:val="single" w:sz="4" w:space="0" w:color="auto"/>
              <w:left w:val="nil"/>
              <w:bottom w:val="single" w:sz="4" w:space="0" w:color="auto"/>
              <w:right w:val="single" w:sz="4" w:space="0" w:color="auto"/>
            </w:tcBorders>
            <w:shd w:val="clear" w:color="000000" w:fill="DDEBF7"/>
            <w:noWrap/>
            <w:vAlign w:val="center"/>
            <w:hideMark/>
          </w:tcPr>
          <w:p w14:paraId="5BE672F3" w14:textId="77777777" w:rsidR="00596805" w:rsidRPr="005155AA" w:rsidRDefault="00596805" w:rsidP="00596805">
            <w:pPr>
              <w:spacing w:after="0" w:line="240" w:lineRule="auto"/>
              <w:jc w:val="center"/>
              <w:rPr>
                <w:rFonts w:ascii="Arial" w:eastAsia="Times New Roman" w:hAnsi="Arial" w:cs="Arial"/>
                <w:b/>
                <w:bCs/>
                <w:color w:val="000000"/>
                <w:sz w:val="18"/>
                <w:szCs w:val="18"/>
                <w:lang w:eastAsia="nl-BE"/>
              </w:rPr>
            </w:pPr>
            <w:r w:rsidRPr="005155AA">
              <w:rPr>
                <w:rFonts w:ascii="Arial" w:eastAsia="Times New Roman" w:hAnsi="Arial" w:cs="Arial"/>
                <w:b/>
                <w:bCs/>
                <w:color w:val="000000"/>
                <w:sz w:val="18"/>
                <w:szCs w:val="18"/>
                <w:lang w:eastAsia="nl-BE"/>
              </w:rPr>
              <w:t>Referentiewet uit VCO</w:t>
            </w:r>
          </w:p>
        </w:tc>
        <w:tc>
          <w:tcPr>
            <w:tcW w:w="1631" w:type="dxa"/>
            <w:tcBorders>
              <w:top w:val="single" w:sz="4" w:space="0" w:color="auto"/>
              <w:left w:val="nil"/>
              <w:bottom w:val="single" w:sz="4" w:space="0" w:color="auto"/>
              <w:right w:val="single" w:sz="4" w:space="0" w:color="auto"/>
            </w:tcBorders>
            <w:shd w:val="clear" w:color="000000" w:fill="DDEBF7"/>
            <w:noWrap/>
            <w:vAlign w:val="center"/>
            <w:hideMark/>
          </w:tcPr>
          <w:p w14:paraId="32D4C0B3" w14:textId="77777777" w:rsidR="00596805" w:rsidRPr="005155AA" w:rsidRDefault="00596805" w:rsidP="00596805">
            <w:pPr>
              <w:spacing w:after="0" w:line="240" w:lineRule="auto"/>
              <w:jc w:val="center"/>
              <w:rPr>
                <w:rFonts w:ascii="Arial" w:eastAsia="Times New Roman" w:hAnsi="Arial" w:cs="Arial"/>
                <w:b/>
                <w:bCs/>
                <w:color w:val="000000"/>
                <w:sz w:val="18"/>
                <w:szCs w:val="18"/>
                <w:lang w:eastAsia="nl-BE"/>
              </w:rPr>
            </w:pPr>
            <w:r w:rsidRPr="005155AA">
              <w:rPr>
                <w:rFonts w:ascii="Arial" w:eastAsia="Times New Roman" w:hAnsi="Arial" w:cs="Arial"/>
                <w:b/>
                <w:bCs/>
                <w:color w:val="000000"/>
                <w:sz w:val="18"/>
                <w:szCs w:val="18"/>
                <w:lang w:eastAsia="nl-BE"/>
              </w:rPr>
              <w:t>Referentiewet uit BVCO</w:t>
            </w:r>
          </w:p>
        </w:tc>
      </w:tr>
      <w:tr w:rsidR="00596805" w:rsidRPr="00F01797" w14:paraId="09C08F7C" w14:textId="77777777" w:rsidTr="000D1534">
        <w:trPr>
          <w:trHeight w:val="1545"/>
        </w:trPr>
        <w:tc>
          <w:tcPr>
            <w:tcW w:w="2375"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15F5FD51" w14:textId="77777777" w:rsidR="00596805" w:rsidRPr="002D2A65" w:rsidRDefault="00596805" w:rsidP="00596805">
            <w:pPr>
              <w:spacing w:after="0" w:line="240" w:lineRule="auto"/>
              <w:jc w:val="center"/>
              <w:rPr>
                <w:rFonts w:ascii="Arial" w:eastAsia="Times New Roman" w:hAnsi="Arial" w:cs="Arial"/>
                <w:color w:val="000000"/>
                <w:sz w:val="18"/>
                <w:szCs w:val="18"/>
                <w:lang w:eastAsia="nl-BE"/>
              </w:rPr>
            </w:pPr>
            <w:r w:rsidRPr="002D2A65">
              <w:rPr>
                <w:rFonts w:ascii="Arial" w:eastAsia="Times New Roman" w:hAnsi="Arial" w:cs="Arial"/>
                <w:color w:val="000000"/>
                <w:sz w:val="18"/>
                <w:szCs w:val="18"/>
                <w:lang w:eastAsia="nl-BE"/>
              </w:rPr>
              <w:t>Toepassingsgebied</w:t>
            </w:r>
          </w:p>
        </w:tc>
        <w:tc>
          <w:tcPr>
            <w:tcW w:w="3490" w:type="dxa"/>
            <w:tcBorders>
              <w:top w:val="single" w:sz="4" w:space="0" w:color="auto"/>
              <w:left w:val="nil"/>
              <w:bottom w:val="single" w:sz="4" w:space="0" w:color="auto"/>
              <w:right w:val="nil"/>
            </w:tcBorders>
            <w:shd w:val="clear" w:color="000000" w:fill="F2F2F2"/>
            <w:vAlign w:val="center"/>
            <w:hideMark/>
          </w:tcPr>
          <w:p w14:paraId="6735E38E" w14:textId="6ED87AE4" w:rsidR="00C50A9B" w:rsidRPr="002D2A65" w:rsidRDefault="00C50A9B" w:rsidP="00C50A9B">
            <w:pPr>
              <w:spacing w:after="0" w:line="240" w:lineRule="auto"/>
              <w:rPr>
                <w:rFonts w:ascii="Arial" w:hAnsi="Arial" w:cs="Arial"/>
                <w:color w:val="000000"/>
                <w:sz w:val="18"/>
                <w:szCs w:val="18"/>
              </w:rPr>
            </w:pPr>
            <w:r w:rsidRPr="002D2A65">
              <w:rPr>
                <w:rFonts w:ascii="Arial" w:eastAsia="Times New Roman" w:hAnsi="Arial" w:cs="Arial"/>
                <w:color w:val="000000"/>
                <w:sz w:val="18"/>
                <w:szCs w:val="18"/>
                <w:lang w:eastAsia="nl-BE"/>
              </w:rPr>
              <w:t xml:space="preserve">Ga na hoe de entiteit is ingedeeld volgens Financiën &amp; Begroting </w:t>
            </w:r>
            <w:r w:rsidRPr="002D2A65">
              <w:rPr>
                <w:rFonts w:ascii="Arial" w:hAnsi="Arial" w:cs="Arial"/>
                <w:color w:val="000000"/>
                <w:sz w:val="18"/>
                <w:szCs w:val="18"/>
              </w:rPr>
              <w:t xml:space="preserve"> </w:t>
            </w:r>
            <w:hyperlink r:id="rId13" w:history="1">
              <w:r w:rsidRPr="000D1534">
                <w:rPr>
                  <w:rStyle w:val="Hyperlink"/>
                  <w:rFonts w:ascii="Arial" w:hAnsi="Arial" w:cs="Arial"/>
                  <w:sz w:val="18"/>
                  <w:szCs w:val="18"/>
                </w:rPr>
                <w:t>https://fin.vlaanderen.be/regelgeving-en-duiding</w:t>
              </w:r>
            </w:hyperlink>
            <w:r w:rsidRPr="000D1534">
              <w:rPr>
                <w:rFonts w:ascii="Arial" w:hAnsi="Arial" w:cs="Arial"/>
                <w:color w:val="000000"/>
                <w:sz w:val="18"/>
                <w:szCs w:val="18"/>
              </w:rPr>
              <w:t xml:space="preserve"> (toepassingsgebied)</w:t>
            </w:r>
            <w:r w:rsidR="00DB7470" w:rsidRPr="002D2A65">
              <w:rPr>
                <w:rFonts w:ascii="Arial" w:hAnsi="Arial" w:cs="Arial"/>
                <w:color w:val="000000"/>
                <w:sz w:val="18"/>
                <w:szCs w:val="18"/>
              </w:rPr>
              <w:t>.</w:t>
            </w:r>
          </w:p>
          <w:p w14:paraId="1903C47A" w14:textId="3488802A" w:rsidR="00596805" w:rsidRPr="002D2A65" w:rsidRDefault="00596805" w:rsidP="00596805">
            <w:pPr>
              <w:spacing w:after="0" w:line="240" w:lineRule="auto"/>
              <w:jc w:val="center"/>
              <w:rPr>
                <w:rFonts w:ascii="Arial" w:eastAsia="Times New Roman" w:hAnsi="Arial" w:cs="Arial"/>
                <w:i/>
                <w:iCs/>
                <w:color w:val="000000"/>
                <w:sz w:val="18"/>
                <w:szCs w:val="18"/>
                <w:lang w:eastAsia="nl-BE"/>
              </w:rPr>
            </w:pPr>
          </w:p>
        </w:tc>
        <w:tc>
          <w:tcPr>
            <w:tcW w:w="1564"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40952AB4" w14:textId="77777777" w:rsidR="00596805" w:rsidRPr="00EC1813" w:rsidRDefault="00596805" w:rsidP="00596805">
            <w:pPr>
              <w:spacing w:after="0" w:line="240" w:lineRule="auto"/>
              <w:jc w:val="center"/>
              <w:rPr>
                <w:rFonts w:ascii="Arial" w:eastAsia="Times New Roman" w:hAnsi="Arial" w:cs="Arial"/>
                <w:color w:val="000000"/>
                <w:sz w:val="18"/>
                <w:szCs w:val="18"/>
                <w:lang w:eastAsia="nl-BE"/>
              </w:rPr>
            </w:pPr>
            <w:r w:rsidRPr="00561987">
              <w:rPr>
                <w:rFonts w:ascii="Arial" w:eastAsia="Times New Roman" w:hAnsi="Arial" w:cs="Arial"/>
                <w:color w:val="000000"/>
                <w:sz w:val="18"/>
                <w:szCs w:val="18"/>
                <w:lang w:eastAsia="nl-BE"/>
              </w:rPr>
              <w:t>artikel 3-6 VCO</w:t>
            </w:r>
          </w:p>
        </w:tc>
        <w:tc>
          <w:tcPr>
            <w:tcW w:w="1631" w:type="dxa"/>
            <w:tcBorders>
              <w:top w:val="single" w:sz="4" w:space="0" w:color="auto"/>
              <w:left w:val="nil"/>
              <w:bottom w:val="single" w:sz="4" w:space="0" w:color="auto"/>
              <w:right w:val="single" w:sz="4" w:space="0" w:color="auto"/>
            </w:tcBorders>
            <w:shd w:val="clear" w:color="000000" w:fill="F2F2F2"/>
            <w:noWrap/>
            <w:vAlign w:val="bottom"/>
            <w:hideMark/>
          </w:tcPr>
          <w:p w14:paraId="3593FF94" w14:textId="77777777" w:rsidR="00596805" w:rsidRPr="002D2A65" w:rsidRDefault="00596805" w:rsidP="00596805">
            <w:pPr>
              <w:spacing w:after="0" w:line="240" w:lineRule="auto"/>
              <w:jc w:val="center"/>
              <w:rPr>
                <w:rFonts w:ascii="Arial" w:eastAsia="Times New Roman" w:hAnsi="Arial" w:cs="Arial"/>
                <w:color w:val="000000"/>
                <w:sz w:val="18"/>
                <w:szCs w:val="18"/>
                <w:lang w:eastAsia="nl-BE"/>
              </w:rPr>
            </w:pPr>
            <w:r w:rsidRPr="002D2A65">
              <w:rPr>
                <w:rFonts w:ascii="Arial" w:eastAsia="Times New Roman" w:hAnsi="Arial" w:cs="Arial"/>
                <w:color w:val="000000"/>
                <w:sz w:val="18"/>
                <w:szCs w:val="18"/>
                <w:lang w:eastAsia="nl-BE"/>
              </w:rPr>
              <w:t> </w:t>
            </w:r>
          </w:p>
        </w:tc>
      </w:tr>
      <w:tr w:rsidR="00485CF5" w:rsidRPr="00F01797" w14:paraId="59C12FBD" w14:textId="77777777" w:rsidTr="000D1534">
        <w:trPr>
          <w:trHeight w:val="1515"/>
        </w:trPr>
        <w:tc>
          <w:tcPr>
            <w:tcW w:w="2375"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64AE1314" w14:textId="30DEC421" w:rsidR="00485CF5" w:rsidRPr="005155AA" w:rsidRDefault="00485CF5" w:rsidP="00596805">
            <w:pPr>
              <w:spacing w:after="0" w:line="240" w:lineRule="auto"/>
              <w:jc w:val="center"/>
              <w:rPr>
                <w:rFonts w:ascii="Arial" w:eastAsia="Times New Roman" w:hAnsi="Arial" w:cs="Arial"/>
                <w:color w:val="000000"/>
                <w:sz w:val="18"/>
                <w:szCs w:val="18"/>
                <w:lang w:eastAsia="nl-BE"/>
              </w:rPr>
            </w:pPr>
            <w:r>
              <w:rPr>
                <w:rFonts w:ascii="Arial" w:eastAsia="Times New Roman" w:hAnsi="Arial" w:cs="Arial"/>
                <w:color w:val="000000"/>
                <w:sz w:val="18"/>
                <w:szCs w:val="18"/>
                <w:lang w:eastAsia="nl-BE"/>
              </w:rPr>
              <w:t>Toepassingsgebied</w:t>
            </w:r>
          </w:p>
        </w:tc>
        <w:tc>
          <w:tcPr>
            <w:tcW w:w="3490" w:type="dxa"/>
            <w:tcBorders>
              <w:top w:val="single" w:sz="4" w:space="0" w:color="auto"/>
              <w:left w:val="nil"/>
              <w:bottom w:val="single" w:sz="4" w:space="0" w:color="auto"/>
              <w:right w:val="nil"/>
            </w:tcBorders>
            <w:shd w:val="clear" w:color="000000" w:fill="F2F2F2"/>
            <w:vAlign w:val="center"/>
          </w:tcPr>
          <w:p w14:paraId="051ED623" w14:textId="4ED0889B" w:rsidR="00485CF5" w:rsidRPr="005155AA" w:rsidRDefault="00485CF5" w:rsidP="005155AA">
            <w:pPr>
              <w:spacing w:after="0" w:line="240" w:lineRule="auto"/>
              <w:jc w:val="both"/>
              <w:rPr>
                <w:rFonts w:ascii="Arial" w:eastAsia="Times New Roman" w:hAnsi="Arial" w:cs="Arial"/>
                <w:color w:val="000000"/>
                <w:sz w:val="18"/>
                <w:szCs w:val="18"/>
                <w:lang w:eastAsia="nl-BE"/>
              </w:rPr>
            </w:pPr>
            <w:r>
              <w:rPr>
                <w:rFonts w:ascii="Arial" w:eastAsia="Times New Roman" w:hAnsi="Arial" w:cs="Arial"/>
                <w:color w:val="000000"/>
                <w:sz w:val="18"/>
                <w:szCs w:val="18"/>
                <w:lang w:eastAsia="nl-BE"/>
              </w:rPr>
              <w:t>Ga na vanaf wanneer de Vlaamse rechtspersoon is onderworpen aan de VCO, en vanaf wanneer de Vlaamse rechtspersoon niet meer is onderworpen aan de VCO.</w:t>
            </w:r>
          </w:p>
        </w:tc>
        <w:tc>
          <w:tcPr>
            <w:tcW w:w="1564"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1306BD7A" w14:textId="77777777" w:rsidR="00C44CB2" w:rsidRDefault="00DB7470" w:rsidP="00596805">
            <w:pPr>
              <w:spacing w:after="0" w:line="240" w:lineRule="auto"/>
              <w:jc w:val="center"/>
              <w:rPr>
                <w:rFonts w:ascii="Arial" w:eastAsia="Times New Roman" w:hAnsi="Arial" w:cs="Arial"/>
                <w:color w:val="000000"/>
                <w:sz w:val="18"/>
                <w:szCs w:val="18"/>
                <w:lang w:eastAsia="nl-BE"/>
              </w:rPr>
            </w:pPr>
            <w:r>
              <w:rPr>
                <w:rFonts w:ascii="Arial" w:eastAsia="Times New Roman" w:hAnsi="Arial" w:cs="Arial"/>
                <w:color w:val="000000"/>
                <w:sz w:val="18"/>
                <w:szCs w:val="18"/>
                <w:lang w:eastAsia="nl-BE"/>
              </w:rPr>
              <w:t>a</w:t>
            </w:r>
            <w:r w:rsidR="00485CF5">
              <w:rPr>
                <w:rFonts w:ascii="Arial" w:eastAsia="Times New Roman" w:hAnsi="Arial" w:cs="Arial"/>
                <w:color w:val="000000"/>
                <w:sz w:val="18"/>
                <w:szCs w:val="18"/>
                <w:lang w:eastAsia="nl-BE"/>
              </w:rPr>
              <w:t>rtikel 8</w:t>
            </w:r>
            <w:r w:rsidR="00731162">
              <w:rPr>
                <w:rFonts w:ascii="Arial" w:eastAsia="Times New Roman" w:hAnsi="Arial" w:cs="Arial"/>
                <w:color w:val="000000"/>
                <w:sz w:val="18"/>
                <w:szCs w:val="18"/>
                <w:lang w:eastAsia="nl-BE"/>
              </w:rPr>
              <w:t xml:space="preserve"> </w:t>
            </w:r>
            <w:r w:rsidR="00485CF5">
              <w:rPr>
                <w:rFonts w:ascii="Arial" w:eastAsia="Times New Roman" w:hAnsi="Arial" w:cs="Arial"/>
                <w:color w:val="000000"/>
                <w:sz w:val="18"/>
                <w:szCs w:val="18"/>
                <w:lang w:eastAsia="nl-BE"/>
              </w:rPr>
              <w:t>VCO</w:t>
            </w:r>
            <w:r w:rsidR="00731162">
              <w:rPr>
                <w:rFonts w:ascii="Arial" w:eastAsia="Times New Roman" w:hAnsi="Arial" w:cs="Arial"/>
                <w:color w:val="000000"/>
                <w:sz w:val="18"/>
                <w:szCs w:val="18"/>
                <w:lang w:eastAsia="nl-BE"/>
              </w:rPr>
              <w:t xml:space="preserve"> </w:t>
            </w:r>
          </w:p>
          <w:p w14:paraId="0B09B776" w14:textId="1DC574D1" w:rsidR="00485CF5" w:rsidRPr="005155AA" w:rsidRDefault="00731162" w:rsidP="00C44CB2">
            <w:pPr>
              <w:spacing w:after="0" w:line="240" w:lineRule="auto"/>
              <w:jc w:val="center"/>
              <w:rPr>
                <w:rFonts w:ascii="Arial" w:eastAsia="Times New Roman" w:hAnsi="Arial" w:cs="Arial"/>
                <w:color w:val="000000"/>
                <w:sz w:val="18"/>
                <w:szCs w:val="18"/>
                <w:lang w:eastAsia="nl-BE"/>
              </w:rPr>
            </w:pPr>
            <w:r>
              <w:rPr>
                <w:rFonts w:ascii="Arial" w:eastAsia="Times New Roman" w:hAnsi="Arial" w:cs="Arial"/>
                <w:color w:val="000000"/>
                <w:sz w:val="18"/>
                <w:szCs w:val="18"/>
                <w:lang w:eastAsia="nl-BE"/>
              </w:rPr>
              <w:t>+</w:t>
            </w:r>
            <w:r w:rsidR="00C44CB2">
              <w:rPr>
                <w:rFonts w:ascii="Arial" w:eastAsia="Times New Roman" w:hAnsi="Arial" w:cs="Arial"/>
                <w:color w:val="000000"/>
                <w:sz w:val="18"/>
                <w:szCs w:val="18"/>
                <w:lang w:eastAsia="nl-BE"/>
              </w:rPr>
              <w:t xml:space="preserve"> </w:t>
            </w:r>
            <w:r>
              <w:rPr>
                <w:rFonts w:ascii="Arial" w:eastAsia="Times New Roman" w:hAnsi="Arial" w:cs="Arial"/>
                <w:color w:val="000000"/>
                <w:sz w:val="18"/>
                <w:szCs w:val="18"/>
                <w:lang w:eastAsia="nl-BE"/>
              </w:rPr>
              <w:t>artikel 9 VCO</w:t>
            </w:r>
          </w:p>
        </w:tc>
        <w:tc>
          <w:tcPr>
            <w:tcW w:w="1631" w:type="dxa"/>
            <w:tcBorders>
              <w:top w:val="single" w:sz="4" w:space="0" w:color="auto"/>
              <w:left w:val="nil"/>
              <w:bottom w:val="single" w:sz="4" w:space="0" w:color="auto"/>
              <w:right w:val="single" w:sz="4" w:space="0" w:color="auto"/>
            </w:tcBorders>
            <w:shd w:val="clear" w:color="000000" w:fill="F2F2F2"/>
            <w:noWrap/>
            <w:vAlign w:val="center"/>
          </w:tcPr>
          <w:p w14:paraId="0ECFECEE" w14:textId="77777777" w:rsidR="00485CF5" w:rsidRPr="005155AA" w:rsidRDefault="00485CF5" w:rsidP="00596805">
            <w:pPr>
              <w:spacing w:after="0" w:line="240" w:lineRule="auto"/>
              <w:jc w:val="center"/>
              <w:rPr>
                <w:rFonts w:ascii="Arial" w:eastAsia="Times New Roman" w:hAnsi="Arial" w:cs="Arial"/>
                <w:color w:val="000000"/>
                <w:sz w:val="18"/>
                <w:szCs w:val="18"/>
                <w:lang w:eastAsia="nl-BE"/>
              </w:rPr>
            </w:pPr>
          </w:p>
        </w:tc>
      </w:tr>
      <w:tr w:rsidR="00596805" w:rsidRPr="00F01797" w14:paraId="1EF0E64C" w14:textId="77777777" w:rsidTr="000D1534">
        <w:trPr>
          <w:trHeight w:val="1515"/>
        </w:trPr>
        <w:tc>
          <w:tcPr>
            <w:tcW w:w="2375"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45D87B9" w14:textId="77777777" w:rsidR="00596805" w:rsidRPr="005155AA" w:rsidRDefault="00596805" w:rsidP="00596805">
            <w:pPr>
              <w:spacing w:after="0" w:line="240" w:lineRule="auto"/>
              <w:jc w:val="center"/>
              <w:rPr>
                <w:rFonts w:ascii="Arial" w:eastAsia="Times New Roman" w:hAnsi="Arial" w:cs="Arial"/>
                <w:color w:val="000000"/>
                <w:sz w:val="18"/>
                <w:szCs w:val="18"/>
                <w:lang w:eastAsia="nl-BE"/>
              </w:rPr>
            </w:pPr>
            <w:r w:rsidRPr="005155AA">
              <w:rPr>
                <w:rFonts w:ascii="Arial" w:eastAsia="Times New Roman" w:hAnsi="Arial" w:cs="Arial"/>
                <w:color w:val="000000"/>
                <w:sz w:val="18"/>
                <w:szCs w:val="18"/>
                <w:lang w:eastAsia="nl-BE"/>
              </w:rPr>
              <w:lastRenderedPageBreak/>
              <w:t>Begroting</w:t>
            </w:r>
          </w:p>
        </w:tc>
        <w:tc>
          <w:tcPr>
            <w:tcW w:w="3490" w:type="dxa"/>
            <w:tcBorders>
              <w:top w:val="single" w:sz="4" w:space="0" w:color="auto"/>
              <w:left w:val="nil"/>
              <w:bottom w:val="nil"/>
              <w:right w:val="nil"/>
            </w:tcBorders>
            <w:shd w:val="clear" w:color="000000" w:fill="F2F2F2"/>
            <w:vAlign w:val="center"/>
            <w:hideMark/>
          </w:tcPr>
          <w:p w14:paraId="31167D02" w14:textId="77777777" w:rsidR="002D2A65" w:rsidRDefault="002D2A65" w:rsidP="005155AA">
            <w:pPr>
              <w:spacing w:after="0" w:line="240" w:lineRule="auto"/>
              <w:jc w:val="both"/>
              <w:rPr>
                <w:rFonts w:ascii="Arial" w:eastAsia="Times New Roman" w:hAnsi="Arial" w:cs="Arial"/>
                <w:color w:val="000000"/>
                <w:sz w:val="18"/>
                <w:szCs w:val="18"/>
                <w:lang w:eastAsia="nl-BE"/>
              </w:rPr>
            </w:pPr>
          </w:p>
          <w:p w14:paraId="3AFB66BB" w14:textId="50CBAF72" w:rsidR="00596805" w:rsidRDefault="00596805" w:rsidP="005155AA">
            <w:pPr>
              <w:spacing w:after="0" w:line="240" w:lineRule="auto"/>
              <w:jc w:val="both"/>
              <w:rPr>
                <w:rFonts w:ascii="Arial" w:eastAsia="Times New Roman" w:hAnsi="Arial" w:cs="Arial"/>
                <w:color w:val="000000"/>
                <w:sz w:val="18"/>
                <w:szCs w:val="18"/>
                <w:lang w:eastAsia="nl-BE"/>
              </w:rPr>
            </w:pPr>
            <w:r w:rsidRPr="005155AA">
              <w:rPr>
                <w:rFonts w:ascii="Arial" w:eastAsia="Times New Roman" w:hAnsi="Arial" w:cs="Arial"/>
                <w:color w:val="000000"/>
                <w:sz w:val="18"/>
                <w:szCs w:val="18"/>
                <w:lang w:eastAsia="nl-BE"/>
              </w:rPr>
              <w:t xml:space="preserve">De herverdelingen en aanpassingen van de begroting van de Vlaamse rechtspersonen </w:t>
            </w:r>
            <w:r w:rsidR="008D0B23" w:rsidRPr="008D0B23">
              <w:rPr>
                <w:rFonts w:ascii="Arial" w:eastAsia="Times New Roman" w:hAnsi="Arial" w:cs="Arial"/>
                <w:color w:val="000000"/>
                <w:sz w:val="18"/>
                <w:szCs w:val="18"/>
                <w:lang w:eastAsia="nl-BE"/>
              </w:rPr>
              <w:t>die rechtstreeks aan het gezag van de Vlaamse Regering zijn onderworpen</w:t>
            </w:r>
            <w:r w:rsidR="008D0B23">
              <w:rPr>
                <w:rFonts w:ascii="Arial" w:eastAsia="Times New Roman" w:hAnsi="Arial" w:cs="Arial"/>
                <w:color w:val="000000"/>
                <w:sz w:val="18"/>
                <w:szCs w:val="18"/>
                <w:lang w:eastAsia="nl-BE"/>
              </w:rPr>
              <w:t xml:space="preserve">, </w:t>
            </w:r>
            <w:r w:rsidRPr="005155AA">
              <w:rPr>
                <w:rFonts w:ascii="Arial" w:eastAsia="Times New Roman" w:hAnsi="Arial" w:cs="Arial"/>
                <w:color w:val="000000"/>
                <w:sz w:val="18"/>
                <w:szCs w:val="18"/>
                <w:lang w:eastAsia="nl-BE"/>
              </w:rPr>
              <w:t>worden goedgekeurd door de Vlaamse Regering.</w:t>
            </w:r>
          </w:p>
          <w:p w14:paraId="0C44C853" w14:textId="77777777" w:rsidR="008D0B23" w:rsidRDefault="008D0B23" w:rsidP="005155AA">
            <w:pPr>
              <w:spacing w:after="0" w:line="240" w:lineRule="auto"/>
              <w:jc w:val="both"/>
              <w:rPr>
                <w:rFonts w:ascii="Arial" w:eastAsia="Times New Roman" w:hAnsi="Arial" w:cs="Arial"/>
                <w:color w:val="000000"/>
                <w:sz w:val="18"/>
                <w:szCs w:val="18"/>
                <w:lang w:eastAsia="nl-BE"/>
              </w:rPr>
            </w:pPr>
          </w:p>
          <w:p w14:paraId="12DD5364" w14:textId="46C69256" w:rsidR="008D0B23" w:rsidRDefault="008D0B23" w:rsidP="005155AA">
            <w:pPr>
              <w:spacing w:after="0" w:line="240" w:lineRule="auto"/>
              <w:jc w:val="both"/>
              <w:rPr>
                <w:rFonts w:ascii="Arial" w:eastAsia="Times New Roman" w:hAnsi="Arial" w:cs="Arial"/>
                <w:color w:val="000000"/>
                <w:sz w:val="18"/>
                <w:szCs w:val="18"/>
                <w:lang w:eastAsia="nl-BE"/>
              </w:rPr>
            </w:pPr>
            <w:r w:rsidRPr="005155AA">
              <w:rPr>
                <w:rFonts w:ascii="Arial" w:eastAsia="Times New Roman" w:hAnsi="Arial" w:cs="Arial"/>
                <w:color w:val="000000"/>
                <w:sz w:val="18"/>
                <w:szCs w:val="18"/>
                <w:lang w:eastAsia="nl-BE"/>
              </w:rPr>
              <w:t xml:space="preserve">De herverdelingen en aanpassingen van de begroting van de Vlaamse rechtspersonen </w:t>
            </w:r>
            <w:r w:rsidRPr="008D0B23">
              <w:rPr>
                <w:rFonts w:ascii="Arial" w:eastAsia="Times New Roman" w:hAnsi="Arial" w:cs="Arial"/>
                <w:color w:val="000000"/>
                <w:sz w:val="18"/>
                <w:szCs w:val="18"/>
                <w:lang w:eastAsia="nl-BE"/>
              </w:rPr>
              <w:t xml:space="preserve">die </w:t>
            </w:r>
            <w:r>
              <w:rPr>
                <w:rFonts w:ascii="Arial" w:eastAsia="Times New Roman" w:hAnsi="Arial" w:cs="Arial"/>
                <w:color w:val="000000"/>
                <w:sz w:val="18"/>
                <w:szCs w:val="18"/>
                <w:lang w:eastAsia="nl-BE"/>
              </w:rPr>
              <w:t xml:space="preserve">niet </w:t>
            </w:r>
            <w:r w:rsidRPr="008D0B23">
              <w:rPr>
                <w:rFonts w:ascii="Arial" w:eastAsia="Times New Roman" w:hAnsi="Arial" w:cs="Arial"/>
                <w:color w:val="000000"/>
                <w:sz w:val="18"/>
                <w:szCs w:val="18"/>
                <w:lang w:eastAsia="nl-BE"/>
              </w:rPr>
              <w:t>rechtstreeks aan het gezag van de Vlaamse Regering zijn onderworpen</w:t>
            </w:r>
            <w:r>
              <w:rPr>
                <w:rFonts w:ascii="Arial" w:eastAsia="Times New Roman" w:hAnsi="Arial" w:cs="Arial"/>
                <w:color w:val="000000"/>
                <w:sz w:val="18"/>
                <w:szCs w:val="18"/>
                <w:lang w:eastAsia="nl-BE"/>
              </w:rPr>
              <w:t xml:space="preserve">, </w:t>
            </w:r>
            <w:r w:rsidRPr="005155AA">
              <w:rPr>
                <w:rFonts w:ascii="Arial" w:eastAsia="Times New Roman" w:hAnsi="Arial" w:cs="Arial"/>
                <w:color w:val="000000"/>
                <w:sz w:val="18"/>
                <w:szCs w:val="18"/>
                <w:lang w:eastAsia="nl-BE"/>
              </w:rPr>
              <w:t>worden</w:t>
            </w:r>
            <w:r>
              <w:rPr>
                <w:rFonts w:ascii="Arial" w:eastAsia="Times New Roman" w:hAnsi="Arial" w:cs="Arial"/>
                <w:color w:val="000000"/>
                <w:sz w:val="18"/>
                <w:szCs w:val="18"/>
                <w:lang w:eastAsia="nl-BE"/>
              </w:rPr>
              <w:t xml:space="preserve"> goedgekeurd door het beheersorgaan van deze Vlaamse rechtspersoon.</w:t>
            </w:r>
          </w:p>
          <w:p w14:paraId="4AE8DA90" w14:textId="77777777" w:rsidR="002D2A65" w:rsidRDefault="002D2A65" w:rsidP="005155AA">
            <w:pPr>
              <w:spacing w:after="0" w:line="240" w:lineRule="auto"/>
              <w:jc w:val="both"/>
              <w:rPr>
                <w:rFonts w:ascii="Arial" w:eastAsia="Times New Roman" w:hAnsi="Arial" w:cs="Arial"/>
                <w:color w:val="000000"/>
                <w:sz w:val="18"/>
                <w:szCs w:val="18"/>
                <w:lang w:eastAsia="nl-BE"/>
              </w:rPr>
            </w:pPr>
          </w:p>
          <w:p w14:paraId="732CB186" w14:textId="245959F8" w:rsidR="007C3DC6" w:rsidRPr="005155AA" w:rsidRDefault="007C3DC6" w:rsidP="005155AA">
            <w:pPr>
              <w:spacing w:after="0" w:line="240" w:lineRule="auto"/>
              <w:jc w:val="both"/>
              <w:rPr>
                <w:rFonts w:ascii="Arial" w:eastAsia="Times New Roman" w:hAnsi="Arial" w:cs="Arial"/>
                <w:color w:val="000000"/>
                <w:sz w:val="18"/>
                <w:szCs w:val="18"/>
                <w:lang w:eastAsia="nl-BE"/>
              </w:rPr>
            </w:pPr>
          </w:p>
        </w:tc>
        <w:tc>
          <w:tcPr>
            <w:tcW w:w="1564"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14A36269" w14:textId="291C1954" w:rsidR="00596805" w:rsidRPr="005155AA" w:rsidRDefault="00596805" w:rsidP="00596805">
            <w:pPr>
              <w:spacing w:after="0" w:line="240" w:lineRule="auto"/>
              <w:jc w:val="center"/>
              <w:rPr>
                <w:rFonts w:ascii="Arial" w:eastAsia="Times New Roman" w:hAnsi="Arial" w:cs="Arial"/>
                <w:color w:val="000000"/>
                <w:sz w:val="18"/>
                <w:szCs w:val="18"/>
                <w:lang w:eastAsia="nl-BE"/>
              </w:rPr>
            </w:pPr>
            <w:r w:rsidRPr="005155AA">
              <w:rPr>
                <w:rFonts w:ascii="Arial" w:eastAsia="Times New Roman" w:hAnsi="Arial" w:cs="Arial"/>
                <w:color w:val="000000"/>
                <w:sz w:val="18"/>
                <w:szCs w:val="18"/>
                <w:lang w:eastAsia="nl-BE"/>
              </w:rPr>
              <w:t>artikel 27</w:t>
            </w:r>
            <w:r w:rsidR="00731162">
              <w:rPr>
                <w:rFonts w:ascii="Arial" w:eastAsia="Times New Roman" w:hAnsi="Arial" w:cs="Arial"/>
                <w:color w:val="000000"/>
                <w:sz w:val="18"/>
                <w:szCs w:val="18"/>
                <w:lang w:eastAsia="nl-BE"/>
              </w:rPr>
              <w:t>,</w:t>
            </w:r>
            <w:r w:rsidRPr="005155AA">
              <w:rPr>
                <w:rFonts w:ascii="Arial" w:eastAsia="Times New Roman" w:hAnsi="Arial" w:cs="Arial"/>
                <w:color w:val="000000"/>
                <w:sz w:val="18"/>
                <w:szCs w:val="18"/>
                <w:lang w:eastAsia="nl-BE"/>
              </w:rPr>
              <w:t xml:space="preserve"> §</w:t>
            </w:r>
            <w:r w:rsidR="00731162">
              <w:rPr>
                <w:rFonts w:ascii="Arial" w:eastAsia="Times New Roman" w:hAnsi="Arial" w:cs="Arial"/>
                <w:color w:val="000000"/>
                <w:sz w:val="18"/>
                <w:szCs w:val="18"/>
                <w:lang w:eastAsia="nl-BE"/>
              </w:rPr>
              <w:t xml:space="preserve"> </w:t>
            </w:r>
            <w:r w:rsidRPr="005155AA">
              <w:rPr>
                <w:rFonts w:ascii="Arial" w:eastAsia="Times New Roman" w:hAnsi="Arial" w:cs="Arial"/>
                <w:color w:val="000000"/>
                <w:sz w:val="18"/>
                <w:szCs w:val="18"/>
                <w:lang w:eastAsia="nl-BE"/>
              </w:rPr>
              <w:t>3 VCO</w:t>
            </w:r>
          </w:p>
        </w:tc>
        <w:tc>
          <w:tcPr>
            <w:tcW w:w="1631" w:type="dxa"/>
            <w:tcBorders>
              <w:top w:val="single" w:sz="4" w:space="0" w:color="auto"/>
              <w:left w:val="nil"/>
              <w:bottom w:val="single" w:sz="4" w:space="0" w:color="auto"/>
              <w:right w:val="single" w:sz="4" w:space="0" w:color="auto"/>
            </w:tcBorders>
            <w:shd w:val="clear" w:color="000000" w:fill="F2F2F2"/>
            <w:noWrap/>
            <w:vAlign w:val="center"/>
            <w:hideMark/>
          </w:tcPr>
          <w:p w14:paraId="5B030C04" w14:textId="77777777" w:rsidR="00596805" w:rsidRPr="005155AA" w:rsidRDefault="00596805" w:rsidP="00596805">
            <w:pPr>
              <w:spacing w:after="0" w:line="240" w:lineRule="auto"/>
              <w:jc w:val="center"/>
              <w:rPr>
                <w:rFonts w:ascii="Arial" w:eastAsia="Times New Roman" w:hAnsi="Arial" w:cs="Arial"/>
                <w:color w:val="000000"/>
                <w:sz w:val="18"/>
                <w:szCs w:val="18"/>
                <w:lang w:eastAsia="nl-BE"/>
              </w:rPr>
            </w:pPr>
            <w:r w:rsidRPr="005155AA">
              <w:rPr>
                <w:rFonts w:ascii="Arial" w:eastAsia="Times New Roman" w:hAnsi="Arial" w:cs="Arial"/>
                <w:color w:val="000000"/>
                <w:sz w:val="18"/>
                <w:szCs w:val="18"/>
                <w:lang w:eastAsia="nl-BE"/>
              </w:rPr>
              <w:t>artikel 13 BVCO</w:t>
            </w:r>
            <w:r w:rsidR="006A21E4" w:rsidRPr="005155AA">
              <w:rPr>
                <w:rFonts w:ascii="Arial" w:eastAsia="Times New Roman" w:hAnsi="Arial" w:cs="Arial"/>
                <w:color w:val="000000"/>
                <w:sz w:val="18"/>
                <w:szCs w:val="18"/>
                <w:lang w:eastAsia="nl-BE"/>
              </w:rPr>
              <w:t xml:space="preserve"> + artikel 14 BVCO (bekendmaking)</w:t>
            </w:r>
          </w:p>
        </w:tc>
      </w:tr>
      <w:tr w:rsidR="00596805" w:rsidRPr="00F01797" w14:paraId="1D232DB8" w14:textId="77777777" w:rsidTr="000D1534">
        <w:trPr>
          <w:trHeight w:val="1545"/>
        </w:trPr>
        <w:tc>
          <w:tcPr>
            <w:tcW w:w="2375"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1ABFBA38" w14:textId="77777777" w:rsidR="00596805" w:rsidRPr="005155AA" w:rsidRDefault="00596805" w:rsidP="00596805">
            <w:pPr>
              <w:spacing w:after="0" w:line="240" w:lineRule="auto"/>
              <w:jc w:val="center"/>
              <w:rPr>
                <w:rFonts w:ascii="Arial" w:eastAsia="Times New Roman" w:hAnsi="Arial" w:cs="Arial"/>
                <w:color w:val="000000"/>
                <w:sz w:val="18"/>
                <w:szCs w:val="18"/>
                <w:lang w:eastAsia="nl-BE"/>
              </w:rPr>
            </w:pPr>
            <w:r w:rsidRPr="005155AA">
              <w:rPr>
                <w:rFonts w:ascii="Arial" w:eastAsia="Times New Roman" w:hAnsi="Arial" w:cs="Arial"/>
                <w:color w:val="000000"/>
                <w:sz w:val="18"/>
                <w:szCs w:val="18"/>
                <w:lang w:eastAsia="nl-BE"/>
              </w:rPr>
              <w:t>Boekhouding</w:t>
            </w:r>
          </w:p>
        </w:tc>
        <w:tc>
          <w:tcPr>
            <w:tcW w:w="3490" w:type="dxa"/>
            <w:tcBorders>
              <w:top w:val="single" w:sz="4" w:space="0" w:color="auto"/>
              <w:left w:val="nil"/>
              <w:bottom w:val="single" w:sz="4" w:space="0" w:color="auto"/>
              <w:right w:val="single" w:sz="4" w:space="0" w:color="auto"/>
            </w:tcBorders>
            <w:shd w:val="clear" w:color="000000" w:fill="F2F2F2"/>
            <w:vAlign w:val="center"/>
            <w:hideMark/>
          </w:tcPr>
          <w:p w14:paraId="4857AA32" w14:textId="77777777" w:rsidR="00596805" w:rsidRPr="005155AA" w:rsidRDefault="00596805" w:rsidP="005155AA">
            <w:pPr>
              <w:spacing w:after="0" w:line="240" w:lineRule="auto"/>
              <w:jc w:val="both"/>
              <w:rPr>
                <w:rFonts w:ascii="Arial" w:eastAsia="Times New Roman" w:hAnsi="Arial" w:cs="Arial"/>
                <w:color w:val="000000"/>
                <w:sz w:val="18"/>
                <w:szCs w:val="18"/>
                <w:lang w:eastAsia="nl-BE"/>
              </w:rPr>
            </w:pPr>
            <w:r w:rsidRPr="005155AA">
              <w:rPr>
                <w:rFonts w:ascii="Arial" w:eastAsia="Times New Roman" w:hAnsi="Arial" w:cs="Arial"/>
                <w:color w:val="000000"/>
                <w:sz w:val="18"/>
                <w:szCs w:val="18"/>
                <w:lang w:eastAsia="nl-BE"/>
              </w:rPr>
              <w:t>De Vlaamse rechtspersoon voert een bedrijfseconomische boekhouding met een analytische component conform de regels van het dubbel boekhouden.</w:t>
            </w:r>
          </w:p>
        </w:tc>
        <w:tc>
          <w:tcPr>
            <w:tcW w:w="1564" w:type="dxa"/>
            <w:tcBorders>
              <w:top w:val="nil"/>
              <w:left w:val="nil"/>
              <w:bottom w:val="single" w:sz="4" w:space="0" w:color="auto"/>
              <w:right w:val="single" w:sz="4" w:space="0" w:color="auto"/>
            </w:tcBorders>
            <w:shd w:val="clear" w:color="000000" w:fill="F2F2F2"/>
            <w:noWrap/>
            <w:vAlign w:val="center"/>
            <w:hideMark/>
          </w:tcPr>
          <w:p w14:paraId="66290E50" w14:textId="77777777" w:rsidR="00596805" w:rsidRPr="005155AA" w:rsidRDefault="00596805" w:rsidP="00596805">
            <w:pPr>
              <w:spacing w:after="0" w:line="240" w:lineRule="auto"/>
              <w:jc w:val="center"/>
              <w:rPr>
                <w:rFonts w:ascii="Arial" w:eastAsia="Times New Roman" w:hAnsi="Arial" w:cs="Arial"/>
                <w:color w:val="000000"/>
                <w:sz w:val="18"/>
                <w:szCs w:val="18"/>
                <w:lang w:eastAsia="nl-BE"/>
              </w:rPr>
            </w:pPr>
            <w:r w:rsidRPr="005155AA">
              <w:rPr>
                <w:rFonts w:ascii="Arial" w:eastAsia="Times New Roman" w:hAnsi="Arial" w:cs="Arial"/>
                <w:color w:val="000000"/>
                <w:sz w:val="18"/>
                <w:szCs w:val="18"/>
                <w:lang w:eastAsia="nl-BE"/>
              </w:rPr>
              <w:t>artikel 28 VCO</w:t>
            </w:r>
          </w:p>
        </w:tc>
        <w:tc>
          <w:tcPr>
            <w:tcW w:w="1631" w:type="dxa"/>
            <w:tcBorders>
              <w:top w:val="nil"/>
              <w:left w:val="nil"/>
              <w:bottom w:val="single" w:sz="4" w:space="0" w:color="auto"/>
              <w:right w:val="single" w:sz="4" w:space="0" w:color="auto"/>
            </w:tcBorders>
            <w:shd w:val="clear" w:color="000000" w:fill="F2F2F2"/>
            <w:noWrap/>
            <w:vAlign w:val="center"/>
            <w:hideMark/>
          </w:tcPr>
          <w:p w14:paraId="5016FE36" w14:textId="77777777" w:rsidR="00596805" w:rsidRPr="005155AA" w:rsidRDefault="00596805" w:rsidP="00596805">
            <w:pPr>
              <w:spacing w:after="0" w:line="240" w:lineRule="auto"/>
              <w:jc w:val="center"/>
              <w:rPr>
                <w:rFonts w:ascii="Arial" w:eastAsia="Times New Roman" w:hAnsi="Arial" w:cs="Arial"/>
                <w:color w:val="000000"/>
                <w:sz w:val="18"/>
                <w:szCs w:val="18"/>
                <w:lang w:eastAsia="nl-BE"/>
              </w:rPr>
            </w:pPr>
            <w:r w:rsidRPr="005155AA">
              <w:rPr>
                <w:rFonts w:ascii="Arial" w:eastAsia="Times New Roman" w:hAnsi="Arial" w:cs="Arial"/>
                <w:color w:val="000000"/>
                <w:sz w:val="18"/>
                <w:szCs w:val="18"/>
                <w:lang w:eastAsia="nl-BE"/>
              </w:rPr>
              <w:t>artikel 15 BVCO</w:t>
            </w:r>
          </w:p>
        </w:tc>
      </w:tr>
      <w:tr w:rsidR="00596805" w:rsidRPr="00F01797" w14:paraId="56483E8F" w14:textId="77777777" w:rsidTr="000D1534">
        <w:trPr>
          <w:trHeight w:val="2235"/>
        </w:trPr>
        <w:tc>
          <w:tcPr>
            <w:tcW w:w="2375"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699DA5FC" w14:textId="77777777" w:rsidR="00596805" w:rsidRPr="005155AA" w:rsidRDefault="00596805" w:rsidP="002A0108">
            <w:pPr>
              <w:spacing w:after="0" w:line="240" w:lineRule="auto"/>
              <w:jc w:val="center"/>
              <w:rPr>
                <w:rFonts w:ascii="Arial" w:eastAsia="Times New Roman" w:hAnsi="Arial" w:cs="Arial"/>
                <w:color w:val="000000"/>
                <w:sz w:val="18"/>
                <w:szCs w:val="18"/>
                <w:lang w:eastAsia="nl-BE"/>
              </w:rPr>
            </w:pPr>
            <w:r w:rsidRPr="005155AA">
              <w:rPr>
                <w:rFonts w:ascii="Arial" w:eastAsia="Times New Roman" w:hAnsi="Arial" w:cs="Arial"/>
                <w:color w:val="000000"/>
                <w:sz w:val="18"/>
                <w:szCs w:val="18"/>
                <w:lang w:eastAsia="nl-BE"/>
              </w:rPr>
              <w:t>Boekhouding</w:t>
            </w:r>
          </w:p>
        </w:tc>
        <w:tc>
          <w:tcPr>
            <w:tcW w:w="3490" w:type="dxa"/>
            <w:tcBorders>
              <w:top w:val="nil"/>
              <w:left w:val="nil"/>
              <w:bottom w:val="single" w:sz="4" w:space="0" w:color="auto"/>
              <w:right w:val="single" w:sz="4" w:space="0" w:color="auto"/>
            </w:tcBorders>
            <w:shd w:val="clear" w:color="000000" w:fill="F2F2F2"/>
            <w:vAlign w:val="center"/>
            <w:hideMark/>
          </w:tcPr>
          <w:p w14:paraId="5FF5B2F3" w14:textId="0F900D42" w:rsidR="00596805" w:rsidRPr="005155AA" w:rsidRDefault="00596805" w:rsidP="005155AA">
            <w:pPr>
              <w:spacing w:after="0" w:line="240" w:lineRule="auto"/>
              <w:jc w:val="both"/>
              <w:rPr>
                <w:rFonts w:ascii="Arial" w:eastAsia="Times New Roman" w:hAnsi="Arial" w:cs="Arial"/>
                <w:color w:val="000000"/>
                <w:sz w:val="18"/>
                <w:szCs w:val="18"/>
                <w:lang w:eastAsia="nl-BE"/>
              </w:rPr>
            </w:pPr>
            <w:r w:rsidRPr="005155AA">
              <w:rPr>
                <w:rFonts w:ascii="Arial" w:eastAsia="Times New Roman" w:hAnsi="Arial" w:cs="Arial"/>
                <w:color w:val="000000"/>
                <w:sz w:val="18"/>
                <w:szCs w:val="18"/>
                <w:lang w:eastAsia="nl-BE"/>
              </w:rPr>
              <w:t xml:space="preserve">Bevestig dat </w:t>
            </w:r>
            <w:r w:rsidR="00E012B8" w:rsidRPr="005155AA">
              <w:rPr>
                <w:rFonts w:ascii="Arial" w:eastAsia="Times New Roman" w:hAnsi="Arial" w:cs="Arial"/>
                <w:color w:val="000000"/>
                <w:sz w:val="18"/>
                <w:szCs w:val="18"/>
                <w:lang w:eastAsia="nl-BE"/>
              </w:rPr>
              <w:t>Het boekhoudplan dat gehanteerd wordt door de Vlaamse rechtspersoon overeenstemt met datgene dat is opgenomen onder de handleiding voor de boekhoudregels binnen de Vlaamse overheid (https://handleidingboekhoudregels.fenb.be/)</w:t>
            </w:r>
            <w:r w:rsidR="007C3DC6">
              <w:rPr>
                <w:rFonts w:ascii="Arial" w:eastAsia="Times New Roman" w:hAnsi="Arial" w:cs="Arial"/>
                <w:color w:val="000000"/>
                <w:sz w:val="18"/>
                <w:szCs w:val="18"/>
                <w:lang w:eastAsia="nl-BE"/>
              </w:rPr>
              <w:t>.</w:t>
            </w:r>
          </w:p>
        </w:tc>
        <w:tc>
          <w:tcPr>
            <w:tcW w:w="1564" w:type="dxa"/>
            <w:tcBorders>
              <w:top w:val="nil"/>
              <w:left w:val="nil"/>
              <w:bottom w:val="single" w:sz="4" w:space="0" w:color="auto"/>
              <w:right w:val="single" w:sz="4" w:space="0" w:color="auto"/>
            </w:tcBorders>
            <w:shd w:val="clear" w:color="000000" w:fill="F2F2F2"/>
            <w:noWrap/>
            <w:vAlign w:val="center"/>
            <w:hideMark/>
          </w:tcPr>
          <w:p w14:paraId="6FDEFE86" w14:textId="77777777" w:rsidR="00596805" w:rsidRPr="005155AA" w:rsidRDefault="00596805" w:rsidP="00596805">
            <w:pPr>
              <w:spacing w:after="0" w:line="240" w:lineRule="auto"/>
              <w:jc w:val="center"/>
              <w:rPr>
                <w:rFonts w:ascii="Arial" w:eastAsia="Times New Roman" w:hAnsi="Arial" w:cs="Arial"/>
                <w:color w:val="000000"/>
                <w:sz w:val="18"/>
                <w:szCs w:val="18"/>
                <w:lang w:eastAsia="nl-BE"/>
              </w:rPr>
            </w:pPr>
            <w:r w:rsidRPr="005155AA">
              <w:rPr>
                <w:rFonts w:ascii="Arial" w:eastAsia="Times New Roman" w:hAnsi="Arial" w:cs="Arial"/>
                <w:color w:val="000000"/>
                <w:sz w:val="18"/>
                <w:szCs w:val="18"/>
                <w:lang w:eastAsia="nl-BE"/>
              </w:rPr>
              <w:t>artikel 28 VCO</w:t>
            </w:r>
          </w:p>
        </w:tc>
        <w:tc>
          <w:tcPr>
            <w:tcW w:w="1631" w:type="dxa"/>
            <w:tcBorders>
              <w:top w:val="nil"/>
              <w:left w:val="nil"/>
              <w:bottom w:val="single" w:sz="4" w:space="0" w:color="auto"/>
              <w:right w:val="single" w:sz="4" w:space="0" w:color="auto"/>
            </w:tcBorders>
            <w:shd w:val="clear" w:color="000000" w:fill="F2F2F2"/>
            <w:noWrap/>
            <w:vAlign w:val="center"/>
            <w:hideMark/>
          </w:tcPr>
          <w:p w14:paraId="58D74A3F" w14:textId="77777777" w:rsidR="00596805" w:rsidRPr="005155AA" w:rsidRDefault="00596805" w:rsidP="00596805">
            <w:pPr>
              <w:spacing w:after="0" w:line="240" w:lineRule="auto"/>
              <w:jc w:val="center"/>
              <w:rPr>
                <w:rFonts w:ascii="Arial" w:eastAsia="Times New Roman" w:hAnsi="Arial" w:cs="Arial"/>
                <w:color w:val="000000"/>
                <w:sz w:val="18"/>
                <w:szCs w:val="18"/>
                <w:lang w:eastAsia="nl-BE"/>
              </w:rPr>
            </w:pPr>
            <w:r w:rsidRPr="005155AA">
              <w:rPr>
                <w:rFonts w:ascii="Arial" w:eastAsia="Times New Roman" w:hAnsi="Arial" w:cs="Arial"/>
                <w:color w:val="000000"/>
                <w:sz w:val="18"/>
                <w:szCs w:val="18"/>
                <w:lang w:eastAsia="nl-BE"/>
              </w:rPr>
              <w:t>artikel 15 BVCO</w:t>
            </w:r>
          </w:p>
        </w:tc>
      </w:tr>
      <w:tr w:rsidR="008219A9" w:rsidRPr="00F01797" w14:paraId="4CA6D7D4" w14:textId="77777777" w:rsidTr="000D1534">
        <w:trPr>
          <w:trHeight w:val="1395"/>
        </w:trPr>
        <w:tc>
          <w:tcPr>
            <w:tcW w:w="2375"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060B859B" w14:textId="4C98FE24" w:rsidR="008219A9" w:rsidRPr="005155AA" w:rsidRDefault="008219A9" w:rsidP="002A0108">
            <w:pPr>
              <w:spacing w:after="0" w:line="240" w:lineRule="auto"/>
              <w:jc w:val="center"/>
              <w:rPr>
                <w:rFonts w:ascii="Arial" w:eastAsia="Times New Roman" w:hAnsi="Arial" w:cs="Arial"/>
                <w:color w:val="000000"/>
                <w:sz w:val="18"/>
                <w:szCs w:val="18"/>
                <w:lang w:eastAsia="nl-BE"/>
              </w:rPr>
            </w:pPr>
            <w:r>
              <w:rPr>
                <w:rFonts w:ascii="Arial" w:eastAsia="Times New Roman" w:hAnsi="Arial" w:cs="Arial"/>
                <w:color w:val="000000"/>
                <w:sz w:val="18"/>
                <w:szCs w:val="18"/>
                <w:lang w:eastAsia="nl-BE"/>
              </w:rPr>
              <w:t>Boekhouding</w:t>
            </w:r>
          </w:p>
        </w:tc>
        <w:tc>
          <w:tcPr>
            <w:tcW w:w="3490" w:type="dxa"/>
            <w:tcBorders>
              <w:top w:val="nil"/>
              <w:left w:val="nil"/>
              <w:bottom w:val="single" w:sz="4" w:space="0" w:color="auto"/>
              <w:right w:val="single" w:sz="4" w:space="0" w:color="auto"/>
            </w:tcBorders>
            <w:shd w:val="clear" w:color="000000" w:fill="F2F2F2"/>
            <w:vAlign w:val="center"/>
          </w:tcPr>
          <w:p w14:paraId="031151BF" w14:textId="72508CE5" w:rsidR="008219A9" w:rsidRPr="005155AA" w:rsidRDefault="00D85AB2" w:rsidP="005155AA">
            <w:pPr>
              <w:spacing w:after="0" w:line="240" w:lineRule="auto"/>
              <w:jc w:val="both"/>
              <w:rPr>
                <w:rFonts w:ascii="Arial" w:eastAsia="Times New Roman" w:hAnsi="Arial" w:cs="Arial"/>
                <w:color w:val="000000"/>
                <w:sz w:val="18"/>
                <w:szCs w:val="18"/>
                <w:lang w:eastAsia="nl-BE"/>
              </w:rPr>
            </w:pPr>
            <w:r>
              <w:rPr>
                <w:rFonts w:ascii="Arial" w:eastAsia="Times New Roman" w:hAnsi="Arial" w:cs="Arial"/>
                <w:color w:val="000000"/>
                <w:sz w:val="18"/>
                <w:szCs w:val="18"/>
                <w:lang w:eastAsia="nl-BE"/>
              </w:rPr>
              <w:t>Verzeker zich ervan dat er een “gedocumenteerde reconciliatie” is in die gevallen dat er een specifiek (afwijkend) boekhoudplan moet worden toegepast.</w:t>
            </w:r>
          </w:p>
        </w:tc>
        <w:tc>
          <w:tcPr>
            <w:tcW w:w="1564" w:type="dxa"/>
            <w:tcBorders>
              <w:top w:val="nil"/>
              <w:left w:val="nil"/>
              <w:bottom w:val="single" w:sz="4" w:space="0" w:color="auto"/>
              <w:right w:val="single" w:sz="4" w:space="0" w:color="auto"/>
            </w:tcBorders>
            <w:shd w:val="clear" w:color="000000" w:fill="F2F2F2"/>
            <w:noWrap/>
            <w:vAlign w:val="center"/>
          </w:tcPr>
          <w:p w14:paraId="4A79B5F9" w14:textId="37B442BD" w:rsidR="008219A9" w:rsidRPr="005155AA" w:rsidRDefault="008219A9" w:rsidP="00596805">
            <w:pPr>
              <w:spacing w:after="0" w:line="240" w:lineRule="auto"/>
              <w:jc w:val="center"/>
              <w:rPr>
                <w:rFonts w:ascii="Arial" w:eastAsia="Times New Roman" w:hAnsi="Arial" w:cs="Arial"/>
                <w:color w:val="000000"/>
                <w:sz w:val="18"/>
                <w:szCs w:val="18"/>
                <w:lang w:eastAsia="nl-BE"/>
              </w:rPr>
            </w:pPr>
            <w:r>
              <w:rPr>
                <w:rFonts w:ascii="Arial" w:eastAsia="Times New Roman" w:hAnsi="Arial" w:cs="Arial"/>
                <w:color w:val="000000"/>
                <w:sz w:val="18"/>
                <w:szCs w:val="18"/>
                <w:lang w:eastAsia="nl-BE"/>
              </w:rPr>
              <w:t>artikel 28</w:t>
            </w:r>
            <w:r w:rsidR="00731162">
              <w:rPr>
                <w:rFonts w:ascii="Arial" w:eastAsia="Times New Roman" w:hAnsi="Arial" w:cs="Arial"/>
                <w:color w:val="000000"/>
                <w:sz w:val="18"/>
                <w:szCs w:val="18"/>
                <w:lang w:eastAsia="nl-BE"/>
              </w:rPr>
              <w:t>, lid 2</w:t>
            </w:r>
            <w:r>
              <w:rPr>
                <w:rFonts w:ascii="Arial" w:eastAsia="Times New Roman" w:hAnsi="Arial" w:cs="Arial"/>
                <w:color w:val="000000"/>
                <w:sz w:val="18"/>
                <w:szCs w:val="18"/>
                <w:lang w:eastAsia="nl-BE"/>
              </w:rPr>
              <w:t xml:space="preserve"> VCO</w:t>
            </w:r>
          </w:p>
        </w:tc>
        <w:tc>
          <w:tcPr>
            <w:tcW w:w="1631" w:type="dxa"/>
            <w:tcBorders>
              <w:top w:val="nil"/>
              <w:left w:val="nil"/>
              <w:bottom w:val="single" w:sz="4" w:space="0" w:color="auto"/>
              <w:right w:val="single" w:sz="4" w:space="0" w:color="auto"/>
            </w:tcBorders>
            <w:shd w:val="clear" w:color="000000" w:fill="F2F2F2"/>
            <w:noWrap/>
            <w:vAlign w:val="center"/>
          </w:tcPr>
          <w:p w14:paraId="3A46E408" w14:textId="14E0315E" w:rsidR="008219A9" w:rsidRPr="005155AA" w:rsidRDefault="002A7C23" w:rsidP="00596805">
            <w:pPr>
              <w:spacing w:after="0" w:line="240" w:lineRule="auto"/>
              <w:jc w:val="center"/>
              <w:rPr>
                <w:rFonts w:ascii="Arial" w:eastAsia="Times New Roman" w:hAnsi="Arial" w:cs="Arial"/>
                <w:color w:val="000000"/>
                <w:sz w:val="18"/>
                <w:szCs w:val="18"/>
                <w:lang w:eastAsia="nl-BE"/>
              </w:rPr>
            </w:pPr>
            <w:r>
              <w:rPr>
                <w:rFonts w:ascii="Arial" w:eastAsia="Times New Roman" w:hAnsi="Arial" w:cs="Arial"/>
                <w:color w:val="000000"/>
                <w:sz w:val="18"/>
                <w:szCs w:val="18"/>
                <w:lang w:eastAsia="nl-BE"/>
              </w:rPr>
              <w:t>artikel 15 BVCO</w:t>
            </w:r>
          </w:p>
        </w:tc>
      </w:tr>
      <w:tr w:rsidR="00596805" w:rsidRPr="00F01797" w14:paraId="38DEF097" w14:textId="77777777" w:rsidTr="000D1534">
        <w:trPr>
          <w:trHeight w:val="1395"/>
        </w:trPr>
        <w:tc>
          <w:tcPr>
            <w:tcW w:w="2375"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1F232B2C" w14:textId="630A4F71" w:rsidR="00596805" w:rsidRPr="005155AA" w:rsidRDefault="00596805" w:rsidP="002A0108">
            <w:pPr>
              <w:spacing w:after="0" w:line="240" w:lineRule="auto"/>
              <w:jc w:val="center"/>
              <w:rPr>
                <w:rFonts w:ascii="Arial" w:eastAsia="Times New Roman" w:hAnsi="Arial" w:cs="Arial"/>
                <w:color w:val="000000"/>
                <w:sz w:val="18"/>
                <w:szCs w:val="18"/>
                <w:lang w:eastAsia="nl-BE"/>
              </w:rPr>
            </w:pPr>
            <w:r w:rsidRPr="005155AA">
              <w:rPr>
                <w:rFonts w:ascii="Arial" w:eastAsia="Times New Roman" w:hAnsi="Arial" w:cs="Arial"/>
                <w:color w:val="000000"/>
                <w:sz w:val="18"/>
                <w:szCs w:val="18"/>
                <w:lang w:eastAsia="nl-BE"/>
              </w:rPr>
              <w:t>Boekhouding</w:t>
            </w:r>
          </w:p>
        </w:tc>
        <w:tc>
          <w:tcPr>
            <w:tcW w:w="3490" w:type="dxa"/>
            <w:tcBorders>
              <w:top w:val="nil"/>
              <w:left w:val="nil"/>
              <w:bottom w:val="single" w:sz="4" w:space="0" w:color="auto"/>
              <w:right w:val="single" w:sz="4" w:space="0" w:color="auto"/>
            </w:tcBorders>
            <w:shd w:val="clear" w:color="000000" w:fill="F2F2F2"/>
            <w:vAlign w:val="center"/>
            <w:hideMark/>
          </w:tcPr>
          <w:p w14:paraId="233C025D" w14:textId="77777777" w:rsidR="00596805" w:rsidRPr="005155AA" w:rsidRDefault="00596805" w:rsidP="005155AA">
            <w:pPr>
              <w:spacing w:after="0" w:line="240" w:lineRule="auto"/>
              <w:jc w:val="both"/>
              <w:rPr>
                <w:rFonts w:ascii="Arial" w:eastAsia="Times New Roman" w:hAnsi="Arial" w:cs="Arial"/>
                <w:color w:val="000000"/>
                <w:sz w:val="18"/>
                <w:szCs w:val="18"/>
                <w:lang w:eastAsia="nl-BE"/>
              </w:rPr>
            </w:pPr>
            <w:r w:rsidRPr="005155AA">
              <w:rPr>
                <w:rFonts w:ascii="Arial" w:eastAsia="Times New Roman" w:hAnsi="Arial" w:cs="Arial"/>
                <w:color w:val="000000"/>
                <w:sz w:val="18"/>
                <w:szCs w:val="18"/>
                <w:lang w:eastAsia="nl-BE"/>
              </w:rPr>
              <w:t xml:space="preserve">De Vlaamse rechtspersoon stelt in dezelfde vorm als het rekeningenstelsel dat op hen van toepassing is, een jaarlijkse inventaris op van alle activa en passiva.   </w:t>
            </w:r>
          </w:p>
        </w:tc>
        <w:tc>
          <w:tcPr>
            <w:tcW w:w="1564" w:type="dxa"/>
            <w:tcBorders>
              <w:top w:val="nil"/>
              <w:left w:val="nil"/>
              <w:bottom w:val="single" w:sz="4" w:space="0" w:color="auto"/>
              <w:right w:val="single" w:sz="4" w:space="0" w:color="auto"/>
            </w:tcBorders>
            <w:shd w:val="clear" w:color="000000" w:fill="F2F2F2"/>
            <w:noWrap/>
            <w:vAlign w:val="center"/>
            <w:hideMark/>
          </w:tcPr>
          <w:p w14:paraId="50337949" w14:textId="77777777" w:rsidR="00596805" w:rsidRPr="005155AA" w:rsidRDefault="00596805" w:rsidP="00596805">
            <w:pPr>
              <w:spacing w:after="0" w:line="240" w:lineRule="auto"/>
              <w:jc w:val="center"/>
              <w:rPr>
                <w:rFonts w:ascii="Arial" w:eastAsia="Times New Roman" w:hAnsi="Arial" w:cs="Arial"/>
                <w:color w:val="000000"/>
                <w:sz w:val="18"/>
                <w:szCs w:val="18"/>
                <w:lang w:eastAsia="nl-BE"/>
              </w:rPr>
            </w:pPr>
            <w:r w:rsidRPr="005155AA">
              <w:rPr>
                <w:rFonts w:ascii="Arial" w:eastAsia="Times New Roman" w:hAnsi="Arial" w:cs="Arial"/>
                <w:color w:val="000000"/>
                <w:sz w:val="18"/>
                <w:szCs w:val="18"/>
                <w:lang w:eastAsia="nl-BE"/>
              </w:rPr>
              <w:t>artikel 30 VCO</w:t>
            </w:r>
          </w:p>
        </w:tc>
        <w:tc>
          <w:tcPr>
            <w:tcW w:w="1631" w:type="dxa"/>
            <w:tcBorders>
              <w:top w:val="nil"/>
              <w:left w:val="nil"/>
              <w:bottom w:val="single" w:sz="4" w:space="0" w:color="auto"/>
              <w:right w:val="single" w:sz="4" w:space="0" w:color="auto"/>
            </w:tcBorders>
            <w:shd w:val="clear" w:color="000000" w:fill="F2F2F2"/>
            <w:noWrap/>
            <w:vAlign w:val="center"/>
            <w:hideMark/>
          </w:tcPr>
          <w:p w14:paraId="61C0B4A4" w14:textId="77777777" w:rsidR="00596805" w:rsidRPr="005155AA" w:rsidRDefault="00596805" w:rsidP="00596805">
            <w:pPr>
              <w:spacing w:after="0" w:line="240" w:lineRule="auto"/>
              <w:jc w:val="center"/>
              <w:rPr>
                <w:rFonts w:ascii="Arial" w:eastAsia="Times New Roman" w:hAnsi="Arial" w:cs="Arial"/>
                <w:color w:val="000000"/>
                <w:sz w:val="18"/>
                <w:szCs w:val="18"/>
                <w:lang w:eastAsia="nl-BE"/>
              </w:rPr>
            </w:pPr>
            <w:r w:rsidRPr="005155AA">
              <w:rPr>
                <w:rFonts w:ascii="Arial" w:eastAsia="Times New Roman" w:hAnsi="Arial" w:cs="Arial"/>
                <w:color w:val="000000"/>
                <w:sz w:val="18"/>
                <w:szCs w:val="18"/>
                <w:lang w:eastAsia="nl-BE"/>
              </w:rPr>
              <w:t> </w:t>
            </w:r>
          </w:p>
        </w:tc>
      </w:tr>
      <w:tr w:rsidR="00596805" w:rsidRPr="00F01797" w14:paraId="4D552225" w14:textId="77777777" w:rsidTr="000D1534">
        <w:trPr>
          <w:trHeight w:val="855"/>
        </w:trPr>
        <w:tc>
          <w:tcPr>
            <w:tcW w:w="2375"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5BC091BE" w14:textId="77777777" w:rsidR="00596805" w:rsidRPr="005155AA" w:rsidRDefault="00596805" w:rsidP="00596805">
            <w:pPr>
              <w:spacing w:after="0" w:line="240" w:lineRule="auto"/>
              <w:jc w:val="center"/>
              <w:rPr>
                <w:rFonts w:ascii="Arial" w:eastAsia="Times New Roman" w:hAnsi="Arial" w:cs="Arial"/>
                <w:color w:val="000000"/>
                <w:sz w:val="18"/>
                <w:szCs w:val="18"/>
                <w:lang w:eastAsia="nl-BE"/>
              </w:rPr>
            </w:pPr>
            <w:r w:rsidRPr="005155AA">
              <w:rPr>
                <w:rFonts w:ascii="Arial" w:eastAsia="Times New Roman" w:hAnsi="Arial" w:cs="Arial"/>
                <w:color w:val="000000"/>
                <w:sz w:val="18"/>
                <w:szCs w:val="18"/>
                <w:lang w:eastAsia="nl-BE"/>
              </w:rPr>
              <w:t>Boekhouding</w:t>
            </w:r>
          </w:p>
        </w:tc>
        <w:tc>
          <w:tcPr>
            <w:tcW w:w="3490" w:type="dxa"/>
            <w:tcBorders>
              <w:top w:val="nil"/>
              <w:left w:val="nil"/>
              <w:bottom w:val="single" w:sz="4" w:space="0" w:color="auto"/>
              <w:right w:val="single" w:sz="4" w:space="0" w:color="auto"/>
            </w:tcBorders>
            <w:shd w:val="clear" w:color="000000" w:fill="F2F2F2"/>
            <w:vAlign w:val="center"/>
            <w:hideMark/>
          </w:tcPr>
          <w:p w14:paraId="05A40B68" w14:textId="77777777" w:rsidR="00596805" w:rsidRPr="005155AA" w:rsidRDefault="00596805" w:rsidP="005155AA">
            <w:pPr>
              <w:spacing w:after="0" w:line="240" w:lineRule="auto"/>
              <w:jc w:val="both"/>
              <w:rPr>
                <w:rFonts w:ascii="Arial" w:eastAsia="Times New Roman" w:hAnsi="Arial" w:cs="Arial"/>
                <w:color w:val="000000"/>
                <w:sz w:val="18"/>
                <w:szCs w:val="18"/>
                <w:lang w:eastAsia="nl-BE"/>
              </w:rPr>
            </w:pPr>
            <w:r w:rsidRPr="005155AA">
              <w:rPr>
                <w:rFonts w:ascii="Arial" w:eastAsia="Times New Roman" w:hAnsi="Arial" w:cs="Arial"/>
                <w:color w:val="000000"/>
                <w:sz w:val="18"/>
                <w:szCs w:val="18"/>
                <w:lang w:eastAsia="nl-BE"/>
              </w:rPr>
              <w:t>Alle verrichtingen worden gestaafd met een verantwoordingsstuk waarnaar ze verwijzen.</w:t>
            </w:r>
          </w:p>
        </w:tc>
        <w:tc>
          <w:tcPr>
            <w:tcW w:w="1564" w:type="dxa"/>
            <w:tcBorders>
              <w:top w:val="nil"/>
              <w:left w:val="nil"/>
              <w:bottom w:val="single" w:sz="4" w:space="0" w:color="auto"/>
              <w:right w:val="single" w:sz="4" w:space="0" w:color="auto"/>
            </w:tcBorders>
            <w:shd w:val="clear" w:color="000000" w:fill="F2F2F2"/>
            <w:noWrap/>
            <w:vAlign w:val="center"/>
            <w:hideMark/>
          </w:tcPr>
          <w:p w14:paraId="01563F0C" w14:textId="77777777" w:rsidR="00596805" w:rsidRPr="005155AA" w:rsidRDefault="00596805" w:rsidP="00596805">
            <w:pPr>
              <w:spacing w:after="0" w:line="240" w:lineRule="auto"/>
              <w:jc w:val="center"/>
              <w:rPr>
                <w:rFonts w:ascii="Arial" w:eastAsia="Times New Roman" w:hAnsi="Arial" w:cs="Arial"/>
                <w:color w:val="000000"/>
                <w:sz w:val="18"/>
                <w:szCs w:val="18"/>
                <w:lang w:eastAsia="nl-BE"/>
              </w:rPr>
            </w:pPr>
            <w:r w:rsidRPr="005155AA">
              <w:rPr>
                <w:rFonts w:ascii="Arial" w:eastAsia="Times New Roman" w:hAnsi="Arial" w:cs="Arial"/>
                <w:color w:val="000000"/>
                <w:sz w:val="18"/>
                <w:szCs w:val="18"/>
                <w:lang w:eastAsia="nl-BE"/>
              </w:rPr>
              <w:t>artikel 31 VCO</w:t>
            </w:r>
          </w:p>
        </w:tc>
        <w:tc>
          <w:tcPr>
            <w:tcW w:w="1631" w:type="dxa"/>
            <w:tcBorders>
              <w:top w:val="nil"/>
              <w:left w:val="nil"/>
              <w:bottom w:val="single" w:sz="4" w:space="0" w:color="auto"/>
              <w:right w:val="single" w:sz="4" w:space="0" w:color="auto"/>
            </w:tcBorders>
            <w:shd w:val="clear" w:color="000000" w:fill="F2F2F2"/>
            <w:noWrap/>
            <w:vAlign w:val="center"/>
            <w:hideMark/>
          </w:tcPr>
          <w:p w14:paraId="64BD4D8E" w14:textId="77777777" w:rsidR="00596805" w:rsidRPr="005155AA" w:rsidRDefault="00596805" w:rsidP="00596805">
            <w:pPr>
              <w:spacing w:after="0" w:line="240" w:lineRule="auto"/>
              <w:jc w:val="center"/>
              <w:rPr>
                <w:rFonts w:ascii="Arial" w:eastAsia="Times New Roman" w:hAnsi="Arial" w:cs="Arial"/>
                <w:color w:val="000000"/>
                <w:sz w:val="18"/>
                <w:szCs w:val="18"/>
                <w:lang w:eastAsia="nl-BE"/>
              </w:rPr>
            </w:pPr>
            <w:r w:rsidRPr="005155AA">
              <w:rPr>
                <w:rFonts w:ascii="Arial" w:eastAsia="Times New Roman" w:hAnsi="Arial" w:cs="Arial"/>
                <w:color w:val="000000"/>
                <w:sz w:val="18"/>
                <w:szCs w:val="18"/>
                <w:lang w:eastAsia="nl-BE"/>
              </w:rPr>
              <w:t> </w:t>
            </w:r>
          </w:p>
        </w:tc>
      </w:tr>
      <w:tr w:rsidR="00596805" w:rsidRPr="00F01797" w14:paraId="2EE91AD0" w14:textId="77777777" w:rsidTr="000D1534">
        <w:trPr>
          <w:trHeight w:val="840"/>
        </w:trPr>
        <w:tc>
          <w:tcPr>
            <w:tcW w:w="2375"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560BB769" w14:textId="77777777" w:rsidR="00596805" w:rsidRPr="005155AA" w:rsidRDefault="00596805" w:rsidP="00596805">
            <w:pPr>
              <w:spacing w:after="0" w:line="240" w:lineRule="auto"/>
              <w:jc w:val="center"/>
              <w:rPr>
                <w:rFonts w:ascii="Arial" w:eastAsia="Times New Roman" w:hAnsi="Arial" w:cs="Arial"/>
                <w:color w:val="000000"/>
                <w:sz w:val="18"/>
                <w:szCs w:val="18"/>
                <w:lang w:eastAsia="nl-BE"/>
              </w:rPr>
            </w:pPr>
            <w:r w:rsidRPr="005155AA">
              <w:rPr>
                <w:rFonts w:ascii="Arial" w:eastAsia="Times New Roman" w:hAnsi="Arial" w:cs="Arial"/>
                <w:color w:val="000000"/>
                <w:sz w:val="18"/>
                <w:szCs w:val="18"/>
                <w:lang w:eastAsia="nl-BE"/>
              </w:rPr>
              <w:t>Boekhouding</w:t>
            </w:r>
          </w:p>
        </w:tc>
        <w:tc>
          <w:tcPr>
            <w:tcW w:w="3490" w:type="dxa"/>
            <w:tcBorders>
              <w:top w:val="nil"/>
              <w:left w:val="nil"/>
              <w:bottom w:val="single" w:sz="4" w:space="0" w:color="auto"/>
              <w:right w:val="single" w:sz="4" w:space="0" w:color="auto"/>
            </w:tcBorders>
            <w:shd w:val="clear" w:color="000000" w:fill="F2F2F2"/>
            <w:vAlign w:val="center"/>
            <w:hideMark/>
          </w:tcPr>
          <w:p w14:paraId="1A882C69" w14:textId="77777777" w:rsidR="00596805" w:rsidRPr="005155AA" w:rsidRDefault="00596805" w:rsidP="005155AA">
            <w:pPr>
              <w:spacing w:after="0" w:line="240" w:lineRule="auto"/>
              <w:jc w:val="both"/>
              <w:rPr>
                <w:rFonts w:ascii="Arial" w:eastAsia="Times New Roman" w:hAnsi="Arial" w:cs="Arial"/>
                <w:color w:val="000000"/>
                <w:sz w:val="18"/>
                <w:szCs w:val="18"/>
                <w:lang w:eastAsia="nl-BE"/>
              </w:rPr>
            </w:pPr>
            <w:r w:rsidRPr="005155AA">
              <w:rPr>
                <w:rFonts w:ascii="Arial" w:eastAsia="Times New Roman" w:hAnsi="Arial" w:cs="Arial"/>
                <w:color w:val="000000"/>
                <w:sz w:val="18"/>
                <w:szCs w:val="18"/>
                <w:lang w:eastAsia="nl-BE"/>
              </w:rPr>
              <w:t>Een boekjaar begint op 1 januari en eindigt op 31 december daaropvolgend.</w:t>
            </w:r>
          </w:p>
        </w:tc>
        <w:tc>
          <w:tcPr>
            <w:tcW w:w="1564" w:type="dxa"/>
            <w:tcBorders>
              <w:top w:val="nil"/>
              <w:left w:val="nil"/>
              <w:bottom w:val="single" w:sz="4" w:space="0" w:color="auto"/>
              <w:right w:val="single" w:sz="4" w:space="0" w:color="auto"/>
            </w:tcBorders>
            <w:shd w:val="clear" w:color="000000" w:fill="F2F2F2"/>
            <w:noWrap/>
            <w:vAlign w:val="center"/>
            <w:hideMark/>
          </w:tcPr>
          <w:p w14:paraId="751C75E2" w14:textId="77777777" w:rsidR="00596805" w:rsidRPr="005155AA" w:rsidRDefault="00596805" w:rsidP="00596805">
            <w:pPr>
              <w:spacing w:after="0" w:line="240" w:lineRule="auto"/>
              <w:jc w:val="center"/>
              <w:rPr>
                <w:rFonts w:ascii="Arial" w:eastAsia="Times New Roman" w:hAnsi="Arial" w:cs="Arial"/>
                <w:color w:val="000000"/>
                <w:sz w:val="18"/>
                <w:szCs w:val="18"/>
                <w:lang w:eastAsia="nl-BE"/>
              </w:rPr>
            </w:pPr>
            <w:r w:rsidRPr="005155AA">
              <w:rPr>
                <w:rFonts w:ascii="Arial" w:eastAsia="Times New Roman" w:hAnsi="Arial" w:cs="Arial"/>
                <w:color w:val="000000"/>
                <w:sz w:val="18"/>
                <w:szCs w:val="18"/>
                <w:lang w:eastAsia="nl-BE"/>
              </w:rPr>
              <w:t>artikel 33 VCO</w:t>
            </w:r>
          </w:p>
        </w:tc>
        <w:tc>
          <w:tcPr>
            <w:tcW w:w="1631" w:type="dxa"/>
            <w:tcBorders>
              <w:top w:val="nil"/>
              <w:left w:val="nil"/>
              <w:bottom w:val="single" w:sz="4" w:space="0" w:color="auto"/>
              <w:right w:val="single" w:sz="4" w:space="0" w:color="auto"/>
            </w:tcBorders>
            <w:shd w:val="clear" w:color="000000" w:fill="F2F2F2"/>
            <w:noWrap/>
            <w:vAlign w:val="center"/>
            <w:hideMark/>
          </w:tcPr>
          <w:p w14:paraId="5FE352B7" w14:textId="77777777" w:rsidR="00596805" w:rsidRPr="005155AA" w:rsidRDefault="00596805" w:rsidP="00596805">
            <w:pPr>
              <w:spacing w:after="0" w:line="240" w:lineRule="auto"/>
              <w:jc w:val="center"/>
              <w:rPr>
                <w:rFonts w:ascii="Arial" w:eastAsia="Times New Roman" w:hAnsi="Arial" w:cs="Arial"/>
                <w:color w:val="000000"/>
                <w:sz w:val="18"/>
                <w:szCs w:val="18"/>
                <w:lang w:eastAsia="nl-BE"/>
              </w:rPr>
            </w:pPr>
            <w:r w:rsidRPr="005155AA">
              <w:rPr>
                <w:rFonts w:ascii="Arial" w:eastAsia="Times New Roman" w:hAnsi="Arial" w:cs="Arial"/>
                <w:color w:val="000000"/>
                <w:sz w:val="18"/>
                <w:szCs w:val="18"/>
                <w:lang w:eastAsia="nl-BE"/>
              </w:rPr>
              <w:t> </w:t>
            </w:r>
          </w:p>
        </w:tc>
      </w:tr>
      <w:tr w:rsidR="00596805" w:rsidRPr="00F01797" w14:paraId="74C4DFE4" w14:textId="77777777" w:rsidTr="000D1534">
        <w:trPr>
          <w:trHeight w:val="1485"/>
        </w:trPr>
        <w:tc>
          <w:tcPr>
            <w:tcW w:w="2375"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3FB6595B" w14:textId="77777777" w:rsidR="00596805" w:rsidRPr="005155AA" w:rsidRDefault="00596805" w:rsidP="00596805">
            <w:pPr>
              <w:spacing w:after="0" w:line="240" w:lineRule="auto"/>
              <w:jc w:val="center"/>
              <w:rPr>
                <w:rFonts w:ascii="Arial" w:eastAsia="Times New Roman" w:hAnsi="Arial" w:cs="Arial"/>
                <w:color w:val="000000"/>
                <w:sz w:val="18"/>
                <w:szCs w:val="18"/>
                <w:lang w:eastAsia="nl-BE"/>
              </w:rPr>
            </w:pPr>
            <w:r w:rsidRPr="005155AA">
              <w:rPr>
                <w:rFonts w:ascii="Arial" w:eastAsia="Times New Roman" w:hAnsi="Arial" w:cs="Arial"/>
                <w:color w:val="000000"/>
                <w:sz w:val="18"/>
                <w:szCs w:val="18"/>
                <w:lang w:eastAsia="nl-BE"/>
              </w:rPr>
              <w:t>Aanrekening</w:t>
            </w:r>
          </w:p>
        </w:tc>
        <w:tc>
          <w:tcPr>
            <w:tcW w:w="3490" w:type="dxa"/>
            <w:tcBorders>
              <w:top w:val="nil"/>
              <w:left w:val="nil"/>
              <w:bottom w:val="single" w:sz="4" w:space="0" w:color="auto"/>
              <w:right w:val="single" w:sz="4" w:space="0" w:color="auto"/>
            </w:tcBorders>
            <w:shd w:val="clear" w:color="000000" w:fill="F2F2F2"/>
            <w:vAlign w:val="center"/>
            <w:hideMark/>
          </w:tcPr>
          <w:p w14:paraId="518ECFF3" w14:textId="77777777" w:rsidR="00596805" w:rsidRPr="005155AA" w:rsidRDefault="00596805" w:rsidP="005155AA">
            <w:pPr>
              <w:spacing w:after="0" w:line="240" w:lineRule="auto"/>
              <w:jc w:val="both"/>
              <w:rPr>
                <w:rFonts w:ascii="Arial" w:eastAsia="Times New Roman" w:hAnsi="Arial" w:cs="Arial"/>
                <w:color w:val="000000"/>
                <w:sz w:val="18"/>
                <w:szCs w:val="18"/>
                <w:lang w:eastAsia="nl-BE"/>
              </w:rPr>
            </w:pPr>
            <w:r w:rsidRPr="005155AA">
              <w:rPr>
                <w:rFonts w:ascii="Arial" w:eastAsia="Times New Roman" w:hAnsi="Arial" w:cs="Arial"/>
                <w:color w:val="000000"/>
                <w:sz w:val="18"/>
                <w:szCs w:val="18"/>
                <w:lang w:eastAsia="nl-BE"/>
              </w:rPr>
              <w:t xml:space="preserve">Elke verbintenis werd vastgelegd ten opzichte van het vastleggingskrediet en voldoet aan de voorwaarde dat de identiteit van de schuldeiser en het bedrag van de verbintenis bepaald of minstens bepaalbaar is. </w:t>
            </w:r>
          </w:p>
        </w:tc>
        <w:tc>
          <w:tcPr>
            <w:tcW w:w="1564" w:type="dxa"/>
            <w:tcBorders>
              <w:top w:val="nil"/>
              <w:left w:val="nil"/>
              <w:bottom w:val="single" w:sz="4" w:space="0" w:color="auto"/>
              <w:right w:val="single" w:sz="4" w:space="0" w:color="auto"/>
            </w:tcBorders>
            <w:shd w:val="clear" w:color="000000" w:fill="F2F2F2"/>
            <w:noWrap/>
            <w:vAlign w:val="center"/>
            <w:hideMark/>
          </w:tcPr>
          <w:p w14:paraId="6ECC7996" w14:textId="251B2B75" w:rsidR="00596805" w:rsidRPr="005155AA" w:rsidRDefault="00596805" w:rsidP="00596805">
            <w:pPr>
              <w:spacing w:after="0" w:line="240" w:lineRule="auto"/>
              <w:jc w:val="center"/>
              <w:rPr>
                <w:rFonts w:ascii="Arial" w:eastAsia="Times New Roman" w:hAnsi="Arial" w:cs="Arial"/>
                <w:color w:val="000000"/>
                <w:sz w:val="18"/>
                <w:szCs w:val="18"/>
                <w:lang w:eastAsia="nl-BE"/>
              </w:rPr>
            </w:pPr>
            <w:r w:rsidRPr="005155AA">
              <w:rPr>
                <w:rFonts w:ascii="Arial" w:eastAsia="Times New Roman" w:hAnsi="Arial" w:cs="Arial"/>
                <w:color w:val="000000"/>
                <w:sz w:val="18"/>
                <w:szCs w:val="18"/>
                <w:lang w:eastAsia="nl-BE"/>
              </w:rPr>
              <w:t>artikel 34</w:t>
            </w:r>
            <w:r w:rsidR="00731162">
              <w:rPr>
                <w:rFonts w:ascii="Arial" w:eastAsia="Times New Roman" w:hAnsi="Arial" w:cs="Arial"/>
                <w:color w:val="000000"/>
                <w:sz w:val="18"/>
                <w:szCs w:val="18"/>
                <w:lang w:eastAsia="nl-BE"/>
              </w:rPr>
              <w:t>,</w:t>
            </w:r>
            <w:r w:rsidRPr="005155AA">
              <w:rPr>
                <w:rFonts w:ascii="Arial" w:eastAsia="Times New Roman" w:hAnsi="Arial" w:cs="Arial"/>
                <w:color w:val="000000"/>
                <w:sz w:val="18"/>
                <w:szCs w:val="18"/>
                <w:lang w:eastAsia="nl-BE"/>
              </w:rPr>
              <w:t xml:space="preserve"> §</w:t>
            </w:r>
            <w:r w:rsidR="00731162">
              <w:rPr>
                <w:rFonts w:ascii="Arial" w:eastAsia="Times New Roman" w:hAnsi="Arial" w:cs="Arial"/>
                <w:color w:val="000000"/>
                <w:sz w:val="18"/>
                <w:szCs w:val="18"/>
                <w:lang w:eastAsia="nl-BE"/>
              </w:rPr>
              <w:t xml:space="preserve"> </w:t>
            </w:r>
            <w:r w:rsidRPr="005155AA">
              <w:rPr>
                <w:rFonts w:ascii="Arial" w:eastAsia="Times New Roman" w:hAnsi="Arial" w:cs="Arial"/>
                <w:color w:val="000000"/>
                <w:sz w:val="18"/>
                <w:szCs w:val="18"/>
                <w:lang w:eastAsia="nl-BE"/>
              </w:rPr>
              <w:t>1 VCO</w:t>
            </w:r>
          </w:p>
        </w:tc>
        <w:tc>
          <w:tcPr>
            <w:tcW w:w="1631" w:type="dxa"/>
            <w:tcBorders>
              <w:top w:val="nil"/>
              <w:left w:val="nil"/>
              <w:bottom w:val="single" w:sz="4" w:space="0" w:color="auto"/>
              <w:right w:val="single" w:sz="4" w:space="0" w:color="auto"/>
            </w:tcBorders>
            <w:shd w:val="clear" w:color="000000" w:fill="F2F2F2"/>
            <w:noWrap/>
            <w:vAlign w:val="bottom"/>
            <w:hideMark/>
          </w:tcPr>
          <w:p w14:paraId="3561674E" w14:textId="77777777" w:rsidR="00596805" w:rsidRPr="005155AA" w:rsidRDefault="00596805" w:rsidP="00596805">
            <w:pPr>
              <w:spacing w:after="0" w:line="240" w:lineRule="auto"/>
              <w:rPr>
                <w:rFonts w:ascii="Arial" w:eastAsia="Times New Roman" w:hAnsi="Arial" w:cs="Arial"/>
                <w:color w:val="000000"/>
                <w:sz w:val="18"/>
                <w:szCs w:val="18"/>
                <w:lang w:eastAsia="nl-BE"/>
              </w:rPr>
            </w:pPr>
            <w:r w:rsidRPr="005155AA">
              <w:rPr>
                <w:rFonts w:ascii="Arial" w:eastAsia="Times New Roman" w:hAnsi="Arial" w:cs="Arial"/>
                <w:color w:val="000000"/>
                <w:sz w:val="18"/>
                <w:szCs w:val="18"/>
                <w:lang w:eastAsia="nl-BE"/>
              </w:rPr>
              <w:t> </w:t>
            </w:r>
          </w:p>
        </w:tc>
      </w:tr>
      <w:tr w:rsidR="00596805" w:rsidRPr="00F01797" w14:paraId="627C62A4" w14:textId="77777777" w:rsidTr="000D1534">
        <w:trPr>
          <w:trHeight w:val="1200"/>
        </w:trPr>
        <w:tc>
          <w:tcPr>
            <w:tcW w:w="2375"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3FCE35C0" w14:textId="77777777" w:rsidR="00596805" w:rsidRPr="005155AA" w:rsidRDefault="00596805" w:rsidP="00596805">
            <w:pPr>
              <w:spacing w:after="0" w:line="240" w:lineRule="auto"/>
              <w:jc w:val="center"/>
              <w:rPr>
                <w:rFonts w:ascii="Arial" w:eastAsia="Times New Roman" w:hAnsi="Arial" w:cs="Arial"/>
                <w:color w:val="000000"/>
                <w:sz w:val="18"/>
                <w:szCs w:val="18"/>
                <w:lang w:eastAsia="nl-BE"/>
              </w:rPr>
            </w:pPr>
            <w:r w:rsidRPr="005155AA">
              <w:rPr>
                <w:rFonts w:ascii="Arial" w:eastAsia="Times New Roman" w:hAnsi="Arial" w:cs="Arial"/>
                <w:color w:val="000000"/>
                <w:sz w:val="18"/>
                <w:szCs w:val="18"/>
                <w:lang w:eastAsia="nl-BE"/>
              </w:rPr>
              <w:t>Aanrekening</w:t>
            </w:r>
          </w:p>
        </w:tc>
        <w:tc>
          <w:tcPr>
            <w:tcW w:w="3490" w:type="dxa"/>
            <w:tcBorders>
              <w:top w:val="nil"/>
              <w:left w:val="nil"/>
              <w:bottom w:val="single" w:sz="4" w:space="0" w:color="auto"/>
              <w:right w:val="single" w:sz="4" w:space="0" w:color="auto"/>
            </w:tcBorders>
            <w:shd w:val="clear" w:color="000000" w:fill="F2F2F2"/>
            <w:vAlign w:val="center"/>
            <w:hideMark/>
          </w:tcPr>
          <w:p w14:paraId="7BA9D9B8" w14:textId="77777777" w:rsidR="00994887" w:rsidRPr="00B06C08" w:rsidRDefault="00994887" w:rsidP="00B06C08">
            <w:pPr>
              <w:spacing w:after="0" w:line="240" w:lineRule="auto"/>
              <w:jc w:val="both"/>
              <w:rPr>
                <w:rFonts w:ascii="Arial" w:eastAsia="Times New Roman" w:hAnsi="Arial" w:cs="Arial"/>
                <w:color w:val="000000"/>
                <w:sz w:val="18"/>
                <w:szCs w:val="18"/>
                <w:lang w:eastAsia="nl-BE"/>
              </w:rPr>
            </w:pPr>
            <w:r w:rsidRPr="005155AA">
              <w:rPr>
                <w:rFonts w:ascii="Arial" w:eastAsia="Times New Roman" w:hAnsi="Arial" w:cs="Arial"/>
                <w:color w:val="000000"/>
                <w:sz w:val="18"/>
                <w:szCs w:val="18"/>
                <w:lang w:eastAsia="nl-BE"/>
              </w:rPr>
              <w:t xml:space="preserve">Ga na of de volgende principes inzake aanrekening </w:t>
            </w:r>
            <w:r w:rsidRPr="00B06C08">
              <w:rPr>
                <w:rFonts w:ascii="Arial" w:eastAsia="Times New Roman" w:hAnsi="Arial" w:cs="Arial"/>
                <w:color w:val="000000"/>
                <w:sz w:val="18"/>
                <w:szCs w:val="18"/>
                <w:lang w:eastAsia="nl-BE"/>
              </w:rPr>
              <w:t>correct worden toegepast:</w:t>
            </w:r>
          </w:p>
          <w:p w14:paraId="29EEE3A0" w14:textId="77777777" w:rsidR="00B06C08" w:rsidRPr="000D1534" w:rsidRDefault="00B06C08" w:rsidP="000D1534">
            <w:pPr>
              <w:pStyle w:val="ListParagraph"/>
              <w:spacing w:after="0" w:line="240" w:lineRule="auto"/>
              <w:ind w:left="0"/>
              <w:jc w:val="both"/>
              <w:rPr>
                <w:rFonts w:ascii="Arial" w:eastAsia="Times New Roman" w:hAnsi="Arial" w:cs="Arial"/>
                <w:color w:val="000000"/>
                <w:sz w:val="18"/>
                <w:szCs w:val="18"/>
                <w:lang w:eastAsia="nl-BE"/>
              </w:rPr>
            </w:pPr>
          </w:p>
          <w:p w14:paraId="47A20FD0" w14:textId="2CAAA7AA" w:rsidR="00994887" w:rsidRPr="00B06C08" w:rsidRDefault="00043ADE" w:rsidP="000D1534">
            <w:pPr>
              <w:pStyle w:val="ListParagraph"/>
              <w:spacing w:after="0" w:line="240" w:lineRule="auto"/>
              <w:ind w:left="0"/>
              <w:jc w:val="both"/>
              <w:rPr>
                <w:rFonts w:ascii="Arial" w:eastAsia="Times New Roman" w:hAnsi="Arial" w:cs="Arial"/>
                <w:color w:val="000000"/>
                <w:sz w:val="18"/>
                <w:szCs w:val="18"/>
                <w:lang w:eastAsia="nl-BE"/>
              </w:rPr>
            </w:pPr>
            <w:r w:rsidRPr="000D1534">
              <w:rPr>
                <w:rFonts w:ascii="Arial" w:eastAsia="Times New Roman" w:hAnsi="Arial" w:cs="Arial"/>
                <w:color w:val="000000"/>
                <w:sz w:val="18"/>
                <w:szCs w:val="18"/>
                <w:lang w:eastAsia="nl-BE"/>
              </w:rPr>
              <w:t xml:space="preserve">Elke verbintenis wordt, binnen de grenzen van de goedgekeurde begroting, vastgelegd ten opzichte van het vastleggingskrediet, op voorwaarde dat uit een verantwoordingsstuk </w:t>
            </w:r>
            <w:r w:rsidRPr="000D1534">
              <w:rPr>
                <w:rFonts w:ascii="Arial" w:eastAsia="Times New Roman" w:hAnsi="Arial" w:cs="Arial"/>
                <w:color w:val="000000"/>
                <w:sz w:val="18"/>
                <w:szCs w:val="18"/>
                <w:lang w:eastAsia="nl-BE"/>
              </w:rPr>
              <w:lastRenderedPageBreak/>
              <w:t>blijkt dat tegelijk aan al de volgende voorwaarden voldaan is:</w:t>
            </w:r>
          </w:p>
          <w:p w14:paraId="64F0CD68" w14:textId="2AC0B500" w:rsidR="00596805" w:rsidRPr="005155AA" w:rsidRDefault="00043ADE" w:rsidP="00B06C08">
            <w:pPr>
              <w:pStyle w:val="ListParagraph"/>
              <w:spacing w:after="0" w:line="240" w:lineRule="auto"/>
              <w:ind w:left="0"/>
              <w:jc w:val="both"/>
              <w:rPr>
                <w:rFonts w:ascii="Arial" w:eastAsia="Times New Roman" w:hAnsi="Arial" w:cs="Arial"/>
                <w:color w:val="000000"/>
                <w:sz w:val="18"/>
                <w:szCs w:val="18"/>
                <w:lang w:eastAsia="nl-BE"/>
              </w:rPr>
            </w:pPr>
            <w:r w:rsidRPr="00B06C08">
              <w:rPr>
                <w:rFonts w:ascii="Arial" w:eastAsia="Times New Roman" w:hAnsi="Arial" w:cs="Arial"/>
                <w:color w:val="000000"/>
                <w:sz w:val="18"/>
                <w:szCs w:val="18"/>
                <w:lang w:eastAsia="nl-BE"/>
              </w:rPr>
              <w:br/>
            </w:r>
            <w:r w:rsidRPr="000D1534">
              <w:rPr>
                <w:rFonts w:ascii="Arial" w:eastAsia="Times New Roman" w:hAnsi="Arial" w:cs="Arial"/>
                <w:color w:val="000000"/>
                <w:sz w:val="18"/>
                <w:szCs w:val="18"/>
                <w:lang w:eastAsia="nl-BE"/>
              </w:rPr>
              <w:t>1° de identiteit van de schuldeiser is bepaald of minstens bepaalbaar;</w:t>
            </w:r>
            <w:r w:rsidRPr="00B06C08">
              <w:rPr>
                <w:rFonts w:ascii="Arial" w:eastAsia="Times New Roman" w:hAnsi="Arial" w:cs="Arial"/>
                <w:color w:val="000000"/>
                <w:sz w:val="18"/>
                <w:szCs w:val="18"/>
                <w:lang w:eastAsia="nl-BE"/>
              </w:rPr>
              <w:br/>
            </w:r>
            <w:r w:rsidRPr="000D1534">
              <w:rPr>
                <w:rFonts w:ascii="Arial" w:eastAsia="Times New Roman" w:hAnsi="Arial" w:cs="Arial"/>
                <w:color w:val="000000"/>
                <w:sz w:val="18"/>
                <w:szCs w:val="18"/>
                <w:lang w:eastAsia="nl-BE"/>
              </w:rPr>
              <w:t>2° het bedrag van de verbintenis is bepaald of minstens bepaalbaar.</w:t>
            </w:r>
            <w:r w:rsidRPr="00B06C08">
              <w:rPr>
                <w:rFonts w:ascii="Arial" w:eastAsia="Times New Roman" w:hAnsi="Arial" w:cs="Arial"/>
                <w:color w:val="000000"/>
                <w:sz w:val="18"/>
                <w:szCs w:val="18"/>
                <w:lang w:eastAsia="nl-BE"/>
              </w:rPr>
              <w:br/>
            </w:r>
            <w:r w:rsidRPr="00B06C08">
              <w:rPr>
                <w:rFonts w:ascii="Arial" w:eastAsia="Times New Roman" w:hAnsi="Arial" w:cs="Arial"/>
                <w:color w:val="000000"/>
                <w:sz w:val="18"/>
                <w:szCs w:val="18"/>
                <w:lang w:eastAsia="nl-BE"/>
              </w:rPr>
              <w:br/>
            </w:r>
            <w:r w:rsidRPr="000D1534">
              <w:rPr>
                <w:rFonts w:ascii="Arial" w:eastAsia="Times New Roman" w:hAnsi="Arial" w:cs="Arial"/>
                <w:color w:val="000000"/>
                <w:sz w:val="18"/>
                <w:szCs w:val="18"/>
                <w:lang w:eastAsia="nl-BE"/>
              </w:rPr>
              <w:t>Een verbintenis wordt vastgelegd zodra aan de voorwaarden, vermeld in het eerste lid, is voldaan. De verbintenis wordt vastgelegd voor het totale bedrag van de verplichtingen die eruit voortvloeien, ongeacht de uitvoeringstermijn.</w:t>
            </w:r>
            <w:r w:rsidRPr="00B06C08">
              <w:rPr>
                <w:rFonts w:ascii="Arial" w:eastAsia="Times New Roman" w:hAnsi="Arial" w:cs="Arial"/>
                <w:color w:val="000000"/>
                <w:sz w:val="18"/>
                <w:szCs w:val="18"/>
                <w:lang w:eastAsia="nl-BE"/>
              </w:rPr>
              <w:br/>
            </w:r>
            <w:r w:rsidRPr="00B06C08">
              <w:rPr>
                <w:rFonts w:ascii="Arial" w:eastAsia="Times New Roman" w:hAnsi="Arial" w:cs="Arial"/>
                <w:color w:val="000000"/>
                <w:sz w:val="18"/>
                <w:szCs w:val="18"/>
                <w:lang w:eastAsia="nl-BE"/>
              </w:rPr>
              <w:br/>
            </w:r>
            <w:r w:rsidRPr="000D1534">
              <w:rPr>
                <w:rFonts w:ascii="Arial" w:eastAsia="Times New Roman" w:hAnsi="Arial" w:cs="Arial"/>
                <w:color w:val="000000"/>
                <w:sz w:val="18"/>
                <w:szCs w:val="18"/>
                <w:lang w:eastAsia="nl-BE"/>
              </w:rPr>
              <w:t>In afwijking van het tweede lid kunnen bepaalde subsidies waarbij de ontvanger jaarlijks automatisch de subsidie volgens bepaalde parameters ontvangt, jaarlijks worden vastgelegd. Die jaarlijkse vastlegging is alleen mogelijk als dat wordt toegelaten in het uitgavendecreet.</w:t>
            </w:r>
            <w:r w:rsidRPr="00B06C08">
              <w:rPr>
                <w:rFonts w:ascii="Arial" w:eastAsia="Times New Roman" w:hAnsi="Arial" w:cs="Arial"/>
                <w:color w:val="000000"/>
                <w:sz w:val="18"/>
                <w:szCs w:val="18"/>
                <w:lang w:eastAsia="nl-BE"/>
              </w:rPr>
              <w:br/>
            </w:r>
            <w:r w:rsidRPr="00B06C08">
              <w:rPr>
                <w:rFonts w:ascii="Arial" w:eastAsia="Times New Roman" w:hAnsi="Arial" w:cs="Arial"/>
                <w:color w:val="000000"/>
                <w:sz w:val="18"/>
                <w:szCs w:val="18"/>
                <w:lang w:eastAsia="nl-BE"/>
              </w:rPr>
              <w:br/>
            </w:r>
            <w:r w:rsidRPr="000D1534">
              <w:rPr>
                <w:rFonts w:ascii="Arial" w:eastAsia="Times New Roman" w:hAnsi="Arial" w:cs="Arial"/>
                <w:color w:val="000000"/>
                <w:sz w:val="18"/>
                <w:szCs w:val="18"/>
                <w:lang w:eastAsia="nl-BE"/>
              </w:rPr>
              <w:t>In afwijking van het tweede lid worden werkingsuitgaven met voorwaardelijke meerjarige gevolgen alleen vastgelegd ten belope van de uitgaven die opeisbaar worden tijdens het begrotingsjaar.</w:t>
            </w:r>
            <w:r w:rsidRPr="00B06C08">
              <w:rPr>
                <w:rFonts w:ascii="Arial" w:eastAsia="Times New Roman" w:hAnsi="Arial" w:cs="Arial"/>
                <w:color w:val="000000"/>
                <w:sz w:val="18"/>
                <w:szCs w:val="18"/>
                <w:lang w:eastAsia="nl-BE"/>
              </w:rPr>
              <w:br/>
            </w:r>
            <w:r w:rsidRPr="00B06C08">
              <w:rPr>
                <w:rFonts w:ascii="Arial" w:eastAsia="Times New Roman" w:hAnsi="Arial" w:cs="Arial"/>
                <w:color w:val="000000"/>
                <w:sz w:val="18"/>
                <w:szCs w:val="18"/>
                <w:lang w:eastAsia="nl-BE"/>
              </w:rPr>
              <w:br/>
            </w:r>
            <w:r w:rsidRPr="000D1534">
              <w:rPr>
                <w:rFonts w:ascii="Arial" w:eastAsia="Times New Roman" w:hAnsi="Arial" w:cs="Arial"/>
                <w:color w:val="000000"/>
                <w:sz w:val="18"/>
                <w:szCs w:val="18"/>
                <w:lang w:eastAsia="nl-BE"/>
              </w:rPr>
              <w:t>In afwijking van het tweede lid kunnen courante uitgaven en uitgaven die opgelegd zijn door een rechterlijke beslissing of een wet tegelijk worden aangerekend op het vastleggingskrediet en het vereffeningskrediet.</w:t>
            </w:r>
            <w:r w:rsidRPr="00B06C08">
              <w:rPr>
                <w:rFonts w:ascii="Arial" w:eastAsia="Times New Roman" w:hAnsi="Arial" w:cs="Arial"/>
                <w:color w:val="000000"/>
                <w:sz w:val="18"/>
                <w:szCs w:val="18"/>
                <w:lang w:eastAsia="nl-BE"/>
              </w:rPr>
              <w:br/>
            </w:r>
            <w:r w:rsidRPr="000D1534">
              <w:rPr>
                <w:rFonts w:ascii="Arial" w:eastAsia="Times New Roman" w:hAnsi="Arial" w:cs="Arial"/>
                <w:color w:val="000000"/>
                <w:sz w:val="18"/>
                <w:szCs w:val="18"/>
                <w:lang w:eastAsia="nl-BE"/>
              </w:rPr>
              <w:t>Recurrente verbintenissen met meerjarige gevolgen worden alleen vastgelegd ten belope van de uitgaven die opeisbaar worden tijdens het begrotingsjaar.</w:t>
            </w:r>
            <w:r w:rsidRPr="00B06C08">
              <w:rPr>
                <w:rFonts w:ascii="Arial" w:eastAsia="Times New Roman" w:hAnsi="Arial" w:cs="Arial"/>
                <w:color w:val="000000"/>
                <w:sz w:val="18"/>
                <w:szCs w:val="18"/>
                <w:lang w:eastAsia="nl-BE"/>
              </w:rPr>
              <w:br/>
            </w:r>
            <w:r w:rsidRPr="00B06C08">
              <w:rPr>
                <w:rFonts w:ascii="Arial" w:eastAsia="Times New Roman" w:hAnsi="Arial" w:cs="Arial"/>
                <w:color w:val="000000"/>
                <w:sz w:val="18"/>
                <w:szCs w:val="18"/>
                <w:lang w:eastAsia="nl-BE"/>
              </w:rPr>
              <w:br/>
            </w:r>
            <w:r w:rsidRPr="000D1534">
              <w:rPr>
                <w:rFonts w:ascii="Arial" w:eastAsia="Times New Roman" w:hAnsi="Arial" w:cs="Arial"/>
                <w:color w:val="000000"/>
                <w:sz w:val="18"/>
                <w:szCs w:val="18"/>
                <w:lang w:eastAsia="nl-BE"/>
              </w:rPr>
              <w:t>De Vlaamse Regering wordt gemachtigd om indicatief te omschrijven wat onder recurrente verbintenissen kan worden verstaan.</w:t>
            </w:r>
          </w:p>
        </w:tc>
        <w:tc>
          <w:tcPr>
            <w:tcW w:w="1564" w:type="dxa"/>
            <w:tcBorders>
              <w:top w:val="nil"/>
              <w:left w:val="nil"/>
              <w:bottom w:val="single" w:sz="4" w:space="0" w:color="auto"/>
              <w:right w:val="single" w:sz="4" w:space="0" w:color="auto"/>
            </w:tcBorders>
            <w:shd w:val="clear" w:color="000000" w:fill="F2F2F2"/>
            <w:noWrap/>
            <w:vAlign w:val="center"/>
            <w:hideMark/>
          </w:tcPr>
          <w:p w14:paraId="0504F3A3" w14:textId="3C39905C" w:rsidR="00596805" w:rsidRPr="005155AA" w:rsidRDefault="00596805" w:rsidP="00596805">
            <w:pPr>
              <w:spacing w:after="0" w:line="240" w:lineRule="auto"/>
              <w:jc w:val="center"/>
              <w:rPr>
                <w:rFonts w:ascii="Arial" w:eastAsia="Times New Roman" w:hAnsi="Arial" w:cs="Arial"/>
                <w:color w:val="000000"/>
                <w:sz w:val="18"/>
                <w:szCs w:val="18"/>
                <w:lang w:eastAsia="nl-BE"/>
              </w:rPr>
            </w:pPr>
            <w:r w:rsidRPr="005155AA">
              <w:rPr>
                <w:rFonts w:ascii="Arial" w:eastAsia="Times New Roman" w:hAnsi="Arial" w:cs="Arial"/>
                <w:color w:val="000000"/>
                <w:sz w:val="18"/>
                <w:szCs w:val="18"/>
                <w:lang w:eastAsia="nl-BE"/>
              </w:rPr>
              <w:lastRenderedPageBreak/>
              <w:t>artikel 34</w:t>
            </w:r>
            <w:r w:rsidR="00731162">
              <w:rPr>
                <w:rFonts w:ascii="Arial" w:eastAsia="Times New Roman" w:hAnsi="Arial" w:cs="Arial"/>
                <w:color w:val="000000"/>
                <w:sz w:val="18"/>
                <w:szCs w:val="18"/>
                <w:lang w:eastAsia="nl-BE"/>
              </w:rPr>
              <w:t>,</w:t>
            </w:r>
            <w:r w:rsidRPr="005155AA">
              <w:rPr>
                <w:rFonts w:ascii="Arial" w:eastAsia="Times New Roman" w:hAnsi="Arial" w:cs="Arial"/>
                <w:color w:val="000000"/>
                <w:sz w:val="18"/>
                <w:szCs w:val="18"/>
                <w:lang w:eastAsia="nl-BE"/>
              </w:rPr>
              <w:t xml:space="preserve"> §</w:t>
            </w:r>
            <w:r w:rsidR="00731162">
              <w:rPr>
                <w:rFonts w:ascii="Arial" w:eastAsia="Times New Roman" w:hAnsi="Arial" w:cs="Arial"/>
                <w:color w:val="000000"/>
                <w:sz w:val="18"/>
                <w:szCs w:val="18"/>
                <w:lang w:eastAsia="nl-BE"/>
              </w:rPr>
              <w:t xml:space="preserve"> </w:t>
            </w:r>
            <w:r w:rsidRPr="005155AA">
              <w:rPr>
                <w:rFonts w:ascii="Arial" w:eastAsia="Times New Roman" w:hAnsi="Arial" w:cs="Arial"/>
                <w:color w:val="000000"/>
                <w:sz w:val="18"/>
                <w:szCs w:val="18"/>
                <w:lang w:eastAsia="nl-BE"/>
              </w:rPr>
              <w:t>1 VCO</w:t>
            </w:r>
          </w:p>
        </w:tc>
        <w:tc>
          <w:tcPr>
            <w:tcW w:w="1631" w:type="dxa"/>
            <w:tcBorders>
              <w:top w:val="nil"/>
              <w:left w:val="nil"/>
              <w:bottom w:val="single" w:sz="4" w:space="0" w:color="auto"/>
              <w:right w:val="single" w:sz="4" w:space="0" w:color="auto"/>
            </w:tcBorders>
            <w:shd w:val="clear" w:color="000000" w:fill="F2F2F2"/>
            <w:noWrap/>
            <w:vAlign w:val="bottom"/>
            <w:hideMark/>
          </w:tcPr>
          <w:p w14:paraId="2A037A6D" w14:textId="77777777" w:rsidR="00596805" w:rsidRPr="005155AA" w:rsidRDefault="00596805" w:rsidP="00596805">
            <w:pPr>
              <w:spacing w:after="0" w:line="240" w:lineRule="auto"/>
              <w:rPr>
                <w:rFonts w:ascii="Arial" w:eastAsia="Times New Roman" w:hAnsi="Arial" w:cs="Arial"/>
                <w:color w:val="000000"/>
                <w:sz w:val="18"/>
                <w:szCs w:val="18"/>
                <w:lang w:eastAsia="nl-BE"/>
              </w:rPr>
            </w:pPr>
            <w:r w:rsidRPr="005155AA">
              <w:rPr>
                <w:rFonts w:ascii="Arial" w:eastAsia="Times New Roman" w:hAnsi="Arial" w:cs="Arial"/>
                <w:color w:val="000000"/>
                <w:sz w:val="18"/>
                <w:szCs w:val="18"/>
                <w:lang w:eastAsia="nl-BE"/>
              </w:rPr>
              <w:t> </w:t>
            </w:r>
          </w:p>
        </w:tc>
      </w:tr>
      <w:tr w:rsidR="00596805" w:rsidRPr="00F01797" w14:paraId="27A09F26" w14:textId="77777777" w:rsidTr="000D1534">
        <w:trPr>
          <w:trHeight w:val="870"/>
        </w:trPr>
        <w:tc>
          <w:tcPr>
            <w:tcW w:w="2375"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58E10C83" w14:textId="77777777" w:rsidR="00596805" w:rsidRPr="005155AA" w:rsidRDefault="00596805" w:rsidP="00596805">
            <w:pPr>
              <w:spacing w:after="0" w:line="240" w:lineRule="auto"/>
              <w:jc w:val="center"/>
              <w:rPr>
                <w:rFonts w:ascii="Arial" w:eastAsia="Times New Roman" w:hAnsi="Arial" w:cs="Arial"/>
                <w:color w:val="000000"/>
                <w:sz w:val="18"/>
                <w:szCs w:val="18"/>
                <w:lang w:eastAsia="nl-BE"/>
              </w:rPr>
            </w:pPr>
            <w:r w:rsidRPr="005155AA">
              <w:rPr>
                <w:rFonts w:ascii="Arial" w:eastAsia="Times New Roman" w:hAnsi="Arial" w:cs="Arial"/>
                <w:color w:val="000000"/>
                <w:sz w:val="18"/>
                <w:szCs w:val="18"/>
                <w:lang w:eastAsia="nl-BE"/>
              </w:rPr>
              <w:t>Aanrekening</w:t>
            </w:r>
          </w:p>
        </w:tc>
        <w:tc>
          <w:tcPr>
            <w:tcW w:w="3490" w:type="dxa"/>
            <w:tcBorders>
              <w:top w:val="nil"/>
              <w:left w:val="nil"/>
              <w:bottom w:val="single" w:sz="4" w:space="0" w:color="auto"/>
              <w:right w:val="single" w:sz="4" w:space="0" w:color="auto"/>
            </w:tcBorders>
            <w:shd w:val="clear" w:color="000000" w:fill="F2F2F2"/>
            <w:vAlign w:val="center"/>
            <w:hideMark/>
          </w:tcPr>
          <w:p w14:paraId="7727777B" w14:textId="77777777" w:rsidR="002D2A65" w:rsidRDefault="002D2A65" w:rsidP="005155AA">
            <w:pPr>
              <w:spacing w:after="0" w:line="240" w:lineRule="auto"/>
              <w:jc w:val="both"/>
              <w:rPr>
                <w:rFonts w:ascii="Arial" w:eastAsia="Times New Roman" w:hAnsi="Arial" w:cs="Arial"/>
                <w:color w:val="000000"/>
                <w:sz w:val="18"/>
                <w:szCs w:val="18"/>
                <w:lang w:eastAsia="nl-BE"/>
              </w:rPr>
            </w:pPr>
          </w:p>
          <w:p w14:paraId="1A9431E7" w14:textId="77777777" w:rsidR="00596805" w:rsidRDefault="00596805" w:rsidP="005155AA">
            <w:pPr>
              <w:spacing w:after="0" w:line="240" w:lineRule="auto"/>
              <w:jc w:val="both"/>
              <w:rPr>
                <w:rFonts w:ascii="Arial" w:eastAsia="Times New Roman" w:hAnsi="Arial" w:cs="Arial"/>
                <w:color w:val="000000"/>
                <w:sz w:val="18"/>
                <w:szCs w:val="18"/>
                <w:lang w:eastAsia="nl-BE"/>
              </w:rPr>
            </w:pPr>
            <w:r w:rsidRPr="005155AA">
              <w:rPr>
                <w:rFonts w:ascii="Arial" w:eastAsia="Times New Roman" w:hAnsi="Arial" w:cs="Arial"/>
                <w:color w:val="000000"/>
                <w:sz w:val="18"/>
                <w:szCs w:val="18"/>
                <w:lang w:eastAsia="nl-BE"/>
              </w:rPr>
              <w:t>Een vordering wordt aangerekend op een begrotingsartikel in de middelenbegroting.</w:t>
            </w:r>
          </w:p>
          <w:p w14:paraId="4CA9DCC0" w14:textId="401FAF48" w:rsidR="002D2A65" w:rsidRPr="005155AA" w:rsidRDefault="002D2A65" w:rsidP="005155AA">
            <w:pPr>
              <w:spacing w:after="0" w:line="240" w:lineRule="auto"/>
              <w:jc w:val="both"/>
              <w:rPr>
                <w:rFonts w:ascii="Arial" w:eastAsia="Times New Roman" w:hAnsi="Arial" w:cs="Arial"/>
                <w:color w:val="000000"/>
                <w:sz w:val="18"/>
                <w:szCs w:val="18"/>
                <w:lang w:eastAsia="nl-BE"/>
              </w:rPr>
            </w:pPr>
          </w:p>
        </w:tc>
        <w:tc>
          <w:tcPr>
            <w:tcW w:w="1564" w:type="dxa"/>
            <w:tcBorders>
              <w:top w:val="nil"/>
              <w:left w:val="nil"/>
              <w:bottom w:val="single" w:sz="4" w:space="0" w:color="auto"/>
              <w:right w:val="single" w:sz="4" w:space="0" w:color="auto"/>
            </w:tcBorders>
            <w:shd w:val="clear" w:color="000000" w:fill="F2F2F2"/>
            <w:noWrap/>
            <w:vAlign w:val="center"/>
            <w:hideMark/>
          </w:tcPr>
          <w:p w14:paraId="2B867F74" w14:textId="77777777" w:rsidR="00596805" w:rsidRPr="005155AA" w:rsidRDefault="00596805" w:rsidP="00596805">
            <w:pPr>
              <w:spacing w:after="0" w:line="240" w:lineRule="auto"/>
              <w:jc w:val="center"/>
              <w:rPr>
                <w:rFonts w:ascii="Arial" w:eastAsia="Times New Roman" w:hAnsi="Arial" w:cs="Arial"/>
                <w:color w:val="000000"/>
                <w:sz w:val="18"/>
                <w:szCs w:val="18"/>
                <w:lang w:eastAsia="nl-BE"/>
              </w:rPr>
            </w:pPr>
            <w:r w:rsidRPr="005155AA">
              <w:rPr>
                <w:rFonts w:ascii="Arial" w:eastAsia="Times New Roman" w:hAnsi="Arial" w:cs="Arial"/>
                <w:color w:val="000000"/>
                <w:sz w:val="18"/>
                <w:szCs w:val="18"/>
                <w:lang w:eastAsia="nl-BE"/>
              </w:rPr>
              <w:t>artikel 35 VCO</w:t>
            </w:r>
          </w:p>
        </w:tc>
        <w:tc>
          <w:tcPr>
            <w:tcW w:w="1631" w:type="dxa"/>
            <w:tcBorders>
              <w:top w:val="nil"/>
              <w:left w:val="nil"/>
              <w:bottom w:val="single" w:sz="4" w:space="0" w:color="auto"/>
              <w:right w:val="single" w:sz="4" w:space="0" w:color="auto"/>
            </w:tcBorders>
            <w:shd w:val="clear" w:color="000000" w:fill="F2F2F2"/>
            <w:noWrap/>
            <w:vAlign w:val="bottom"/>
            <w:hideMark/>
          </w:tcPr>
          <w:p w14:paraId="61D4467A" w14:textId="77777777" w:rsidR="00596805" w:rsidRPr="005155AA" w:rsidRDefault="00596805" w:rsidP="00596805">
            <w:pPr>
              <w:spacing w:after="0" w:line="240" w:lineRule="auto"/>
              <w:rPr>
                <w:rFonts w:ascii="Arial" w:eastAsia="Times New Roman" w:hAnsi="Arial" w:cs="Arial"/>
                <w:color w:val="000000"/>
                <w:sz w:val="18"/>
                <w:szCs w:val="18"/>
                <w:lang w:eastAsia="nl-BE"/>
              </w:rPr>
            </w:pPr>
            <w:r w:rsidRPr="005155AA">
              <w:rPr>
                <w:rFonts w:ascii="Arial" w:eastAsia="Times New Roman" w:hAnsi="Arial" w:cs="Arial"/>
                <w:color w:val="000000"/>
                <w:sz w:val="18"/>
                <w:szCs w:val="18"/>
                <w:lang w:eastAsia="nl-BE"/>
              </w:rPr>
              <w:t> </w:t>
            </w:r>
          </w:p>
        </w:tc>
      </w:tr>
      <w:tr w:rsidR="00596805" w:rsidRPr="00F01797" w14:paraId="6BA1CC3F" w14:textId="77777777" w:rsidTr="000D1534">
        <w:trPr>
          <w:trHeight w:val="870"/>
        </w:trPr>
        <w:tc>
          <w:tcPr>
            <w:tcW w:w="2375"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58062CB3" w14:textId="77777777" w:rsidR="00596805" w:rsidRPr="005155AA" w:rsidRDefault="00596805" w:rsidP="00596805">
            <w:pPr>
              <w:spacing w:after="0" w:line="240" w:lineRule="auto"/>
              <w:jc w:val="center"/>
              <w:rPr>
                <w:rFonts w:ascii="Arial" w:eastAsia="Times New Roman" w:hAnsi="Arial" w:cs="Arial"/>
                <w:color w:val="000000"/>
                <w:sz w:val="18"/>
                <w:szCs w:val="18"/>
                <w:lang w:eastAsia="nl-BE"/>
              </w:rPr>
            </w:pPr>
            <w:r w:rsidRPr="005155AA">
              <w:rPr>
                <w:rFonts w:ascii="Arial" w:eastAsia="Times New Roman" w:hAnsi="Arial" w:cs="Arial"/>
                <w:color w:val="000000"/>
                <w:sz w:val="18"/>
                <w:szCs w:val="18"/>
                <w:lang w:eastAsia="nl-BE"/>
              </w:rPr>
              <w:t>Aanrekening</w:t>
            </w:r>
          </w:p>
        </w:tc>
        <w:tc>
          <w:tcPr>
            <w:tcW w:w="3490" w:type="dxa"/>
            <w:tcBorders>
              <w:top w:val="nil"/>
              <w:left w:val="nil"/>
              <w:bottom w:val="single" w:sz="4" w:space="0" w:color="auto"/>
              <w:right w:val="single" w:sz="4" w:space="0" w:color="auto"/>
            </w:tcBorders>
            <w:shd w:val="clear" w:color="000000" w:fill="F2F2F2"/>
            <w:vAlign w:val="center"/>
            <w:hideMark/>
          </w:tcPr>
          <w:p w14:paraId="7FEDBC32" w14:textId="77777777" w:rsidR="00596805" w:rsidRPr="005155AA" w:rsidRDefault="00596805" w:rsidP="005155AA">
            <w:pPr>
              <w:spacing w:after="0" w:line="240" w:lineRule="auto"/>
              <w:jc w:val="both"/>
              <w:rPr>
                <w:rFonts w:ascii="Arial" w:eastAsia="Times New Roman" w:hAnsi="Arial" w:cs="Arial"/>
                <w:color w:val="000000"/>
                <w:sz w:val="18"/>
                <w:szCs w:val="18"/>
                <w:lang w:eastAsia="nl-BE"/>
              </w:rPr>
            </w:pPr>
            <w:r w:rsidRPr="005155AA">
              <w:rPr>
                <w:rFonts w:ascii="Arial" w:eastAsia="Times New Roman" w:hAnsi="Arial" w:cs="Arial"/>
                <w:color w:val="000000"/>
                <w:sz w:val="18"/>
                <w:szCs w:val="18"/>
                <w:lang w:eastAsia="nl-BE"/>
              </w:rPr>
              <w:t>Een schuld wordt aangerekend op het overeenstemmende vereffeningskrediet.</w:t>
            </w:r>
          </w:p>
        </w:tc>
        <w:tc>
          <w:tcPr>
            <w:tcW w:w="1564" w:type="dxa"/>
            <w:tcBorders>
              <w:top w:val="nil"/>
              <w:left w:val="nil"/>
              <w:bottom w:val="single" w:sz="4" w:space="0" w:color="auto"/>
              <w:right w:val="single" w:sz="4" w:space="0" w:color="auto"/>
            </w:tcBorders>
            <w:shd w:val="clear" w:color="000000" w:fill="F2F2F2"/>
            <w:noWrap/>
            <w:vAlign w:val="center"/>
            <w:hideMark/>
          </w:tcPr>
          <w:p w14:paraId="5E59BCF4" w14:textId="77777777" w:rsidR="00596805" w:rsidRPr="005155AA" w:rsidRDefault="00596805" w:rsidP="00596805">
            <w:pPr>
              <w:spacing w:after="0" w:line="240" w:lineRule="auto"/>
              <w:jc w:val="center"/>
              <w:rPr>
                <w:rFonts w:ascii="Arial" w:eastAsia="Times New Roman" w:hAnsi="Arial" w:cs="Arial"/>
                <w:color w:val="000000"/>
                <w:sz w:val="18"/>
                <w:szCs w:val="18"/>
                <w:lang w:eastAsia="nl-BE"/>
              </w:rPr>
            </w:pPr>
            <w:r w:rsidRPr="005155AA">
              <w:rPr>
                <w:rFonts w:ascii="Arial" w:eastAsia="Times New Roman" w:hAnsi="Arial" w:cs="Arial"/>
                <w:color w:val="000000"/>
                <w:sz w:val="18"/>
                <w:szCs w:val="18"/>
                <w:lang w:eastAsia="nl-BE"/>
              </w:rPr>
              <w:t>artikel 35 VCO</w:t>
            </w:r>
          </w:p>
        </w:tc>
        <w:tc>
          <w:tcPr>
            <w:tcW w:w="1631" w:type="dxa"/>
            <w:tcBorders>
              <w:top w:val="nil"/>
              <w:left w:val="nil"/>
              <w:bottom w:val="single" w:sz="4" w:space="0" w:color="auto"/>
              <w:right w:val="single" w:sz="4" w:space="0" w:color="auto"/>
            </w:tcBorders>
            <w:shd w:val="clear" w:color="000000" w:fill="F2F2F2"/>
            <w:noWrap/>
            <w:vAlign w:val="center"/>
            <w:hideMark/>
          </w:tcPr>
          <w:p w14:paraId="33B2C0F8" w14:textId="77777777" w:rsidR="00596805" w:rsidRPr="005155AA" w:rsidRDefault="00596805" w:rsidP="00596805">
            <w:pPr>
              <w:spacing w:after="0" w:line="240" w:lineRule="auto"/>
              <w:jc w:val="center"/>
              <w:rPr>
                <w:rFonts w:ascii="Arial" w:eastAsia="Times New Roman" w:hAnsi="Arial" w:cs="Arial"/>
                <w:color w:val="000000"/>
                <w:sz w:val="18"/>
                <w:szCs w:val="18"/>
                <w:lang w:eastAsia="nl-BE"/>
              </w:rPr>
            </w:pPr>
            <w:r w:rsidRPr="005155AA">
              <w:rPr>
                <w:rFonts w:ascii="Arial" w:eastAsia="Times New Roman" w:hAnsi="Arial" w:cs="Arial"/>
                <w:color w:val="000000"/>
                <w:sz w:val="18"/>
                <w:szCs w:val="18"/>
                <w:lang w:eastAsia="nl-BE"/>
              </w:rPr>
              <w:t>artikel 19 BVCO</w:t>
            </w:r>
          </w:p>
        </w:tc>
      </w:tr>
      <w:tr w:rsidR="00596805" w:rsidRPr="00F01797" w14:paraId="1117302A" w14:textId="77777777" w:rsidTr="000D1534">
        <w:trPr>
          <w:trHeight w:val="1170"/>
        </w:trPr>
        <w:tc>
          <w:tcPr>
            <w:tcW w:w="2375"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39258B24" w14:textId="77777777" w:rsidR="00596805" w:rsidRPr="005155AA" w:rsidRDefault="00596805" w:rsidP="00596805">
            <w:pPr>
              <w:spacing w:after="0" w:line="240" w:lineRule="auto"/>
              <w:jc w:val="center"/>
              <w:rPr>
                <w:rFonts w:ascii="Arial" w:eastAsia="Times New Roman" w:hAnsi="Arial" w:cs="Arial"/>
                <w:color w:val="000000"/>
                <w:sz w:val="18"/>
                <w:szCs w:val="18"/>
                <w:lang w:eastAsia="nl-BE"/>
              </w:rPr>
            </w:pPr>
            <w:r w:rsidRPr="005155AA">
              <w:rPr>
                <w:rFonts w:ascii="Arial" w:eastAsia="Times New Roman" w:hAnsi="Arial" w:cs="Arial"/>
                <w:color w:val="000000"/>
                <w:sz w:val="18"/>
                <w:szCs w:val="18"/>
                <w:lang w:eastAsia="nl-BE"/>
              </w:rPr>
              <w:t>Aanrekening</w:t>
            </w:r>
          </w:p>
        </w:tc>
        <w:tc>
          <w:tcPr>
            <w:tcW w:w="3490" w:type="dxa"/>
            <w:tcBorders>
              <w:top w:val="nil"/>
              <w:left w:val="nil"/>
              <w:bottom w:val="single" w:sz="4" w:space="0" w:color="auto"/>
              <w:right w:val="single" w:sz="4" w:space="0" w:color="auto"/>
            </w:tcBorders>
            <w:shd w:val="clear" w:color="000000" w:fill="F2F2F2"/>
            <w:vAlign w:val="center"/>
            <w:hideMark/>
          </w:tcPr>
          <w:p w14:paraId="68972393" w14:textId="77777777" w:rsidR="002D2A65" w:rsidRDefault="002D2A65" w:rsidP="005155AA">
            <w:pPr>
              <w:spacing w:after="0" w:line="240" w:lineRule="auto"/>
              <w:jc w:val="both"/>
              <w:rPr>
                <w:rFonts w:ascii="Arial" w:eastAsia="Times New Roman" w:hAnsi="Arial" w:cs="Arial"/>
                <w:color w:val="000000"/>
                <w:sz w:val="18"/>
                <w:szCs w:val="18"/>
                <w:lang w:eastAsia="nl-BE"/>
              </w:rPr>
            </w:pPr>
          </w:p>
          <w:p w14:paraId="7057C076" w14:textId="507661EA" w:rsidR="00596805" w:rsidRPr="005155AA" w:rsidRDefault="00596805" w:rsidP="005155AA">
            <w:pPr>
              <w:spacing w:after="0" w:line="240" w:lineRule="auto"/>
              <w:jc w:val="both"/>
              <w:rPr>
                <w:rFonts w:ascii="Arial" w:eastAsia="Times New Roman" w:hAnsi="Arial" w:cs="Arial"/>
                <w:color w:val="000000"/>
                <w:sz w:val="18"/>
                <w:szCs w:val="18"/>
                <w:lang w:eastAsia="nl-BE"/>
              </w:rPr>
            </w:pPr>
            <w:r w:rsidRPr="005155AA">
              <w:rPr>
                <w:rFonts w:ascii="Arial" w:eastAsia="Times New Roman" w:hAnsi="Arial" w:cs="Arial"/>
                <w:color w:val="000000"/>
                <w:sz w:val="18"/>
                <w:szCs w:val="18"/>
                <w:lang w:eastAsia="nl-BE"/>
              </w:rPr>
              <w:t>Bevestig dat elke verrichting zonder uitstel, getrouw, volledig en chronologisch werd geboekt en gehecht aan het boekjaar waarin ze zich voordoet.</w:t>
            </w:r>
          </w:p>
        </w:tc>
        <w:tc>
          <w:tcPr>
            <w:tcW w:w="1564" w:type="dxa"/>
            <w:tcBorders>
              <w:top w:val="nil"/>
              <w:left w:val="nil"/>
              <w:bottom w:val="single" w:sz="4" w:space="0" w:color="auto"/>
              <w:right w:val="single" w:sz="4" w:space="0" w:color="auto"/>
            </w:tcBorders>
            <w:shd w:val="clear" w:color="000000" w:fill="F2F2F2"/>
            <w:noWrap/>
            <w:vAlign w:val="center"/>
            <w:hideMark/>
          </w:tcPr>
          <w:p w14:paraId="717F6DA5" w14:textId="77777777" w:rsidR="00596805" w:rsidRPr="005155AA" w:rsidRDefault="00596805" w:rsidP="00596805">
            <w:pPr>
              <w:spacing w:after="0" w:line="240" w:lineRule="auto"/>
              <w:jc w:val="center"/>
              <w:rPr>
                <w:rFonts w:ascii="Arial" w:eastAsia="Times New Roman" w:hAnsi="Arial" w:cs="Arial"/>
                <w:color w:val="000000"/>
                <w:sz w:val="18"/>
                <w:szCs w:val="18"/>
                <w:lang w:eastAsia="nl-BE"/>
              </w:rPr>
            </w:pPr>
            <w:r w:rsidRPr="005155AA">
              <w:rPr>
                <w:rFonts w:ascii="Arial" w:eastAsia="Times New Roman" w:hAnsi="Arial" w:cs="Arial"/>
                <w:color w:val="000000"/>
                <w:sz w:val="18"/>
                <w:szCs w:val="18"/>
                <w:lang w:eastAsia="nl-BE"/>
              </w:rPr>
              <w:t>artikel 36 VCO</w:t>
            </w:r>
          </w:p>
        </w:tc>
        <w:tc>
          <w:tcPr>
            <w:tcW w:w="1631" w:type="dxa"/>
            <w:tcBorders>
              <w:top w:val="nil"/>
              <w:left w:val="nil"/>
              <w:bottom w:val="single" w:sz="4" w:space="0" w:color="auto"/>
              <w:right w:val="single" w:sz="4" w:space="0" w:color="auto"/>
            </w:tcBorders>
            <w:shd w:val="clear" w:color="000000" w:fill="F2F2F2"/>
            <w:noWrap/>
            <w:vAlign w:val="bottom"/>
            <w:hideMark/>
          </w:tcPr>
          <w:p w14:paraId="409E39AB" w14:textId="77777777" w:rsidR="00596805" w:rsidRPr="005155AA" w:rsidRDefault="00596805" w:rsidP="00596805">
            <w:pPr>
              <w:spacing w:after="0" w:line="240" w:lineRule="auto"/>
              <w:rPr>
                <w:rFonts w:ascii="Arial" w:eastAsia="Times New Roman" w:hAnsi="Arial" w:cs="Arial"/>
                <w:color w:val="000000"/>
                <w:sz w:val="18"/>
                <w:szCs w:val="18"/>
                <w:lang w:eastAsia="nl-BE"/>
              </w:rPr>
            </w:pPr>
            <w:r w:rsidRPr="005155AA">
              <w:rPr>
                <w:rFonts w:ascii="Arial" w:eastAsia="Times New Roman" w:hAnsi="Arial" w:cs="Arial"/>
                <w:color w:val="000000"/>
                <w:sz w:val="18"/>
                <w:szCs w:val="18"/>
                <w:lang w:eastAsia="nl-BE"/>
              </w:rPr>
              <w:t> </w:t>
            </w:r>
          </w:p>
        </w:tc>
      </w:tr>
      <w:tr w:rsidR="00315766" w:rsidRPr="00F01797" w14:paraId="39D38514" w14:textId="77777777" w:rsidTr="000D1534">
        <w:trPr>
          <w:trHeight w:val="1170"/>
        </w:trPr>
        <w:tc>
          <w:tcPr>
            <w:tcW w:w="2375"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6D69C86F" w14:textId="0F49F780" w:rsidR="00315766" w:rsidRPr="005155AA" w:rsidRDefault="00F01797" w:rsidP="00596805">
            <w:pPr>
              <w:spacing w:after="0" w:line="240" w:lineRule="auto"/>
              <w:jc w:val="center"/>
              <w:rPr>
                <w:rFonts w:ascii="Arial" w:eastAsia="Times New Roman" w:hAnsi="Arial" w:cs="Arial"/>
                <w:color w:val="000000"/>
                <w:sz w:val="18"/>
                <w:szCs w:val="18"/>
                <w:lang w:eastAsia="nl-BE"/>
              </w:rPr>
            </w:pPr>
            <w:r w:rsidRPr="005155AA">
              <w:rPr>
                <w:rFonts w:ascii="Arial" w:eastAsia="Times New Roman" w:hAnsi="Arial" w:cs="Arial"/>
                <w:color w:val="000000"/>
                <w:sz w:val="18"/>
                <w:szCs w:val="18"/>
                <w:lang w:eastAsia="nl-BE"/>
              </w:rPr>
              <w:t>Aanrekening</w:t>
            </w:r>
          </w:p>
        </w:tc>
        <w:tc>
          <w:tcPr>
            <w:tcW w:w="3490" w:type="dxa"/>
            <w:tcBorders>
              <w:top w:val="nil"/>
              <w:left w:val="nil"/>
              <w:bottom w:val="single" w:sz="4" w:space="0" w:color="auto"/>
              <w:right w:val="single" w:sz="4" w:space="0" w:color="auto"/>
            </w:tcBorders>
            <w:shd w:val="clear" w:color="000000" w:fill="F2F2F2"/>
            <w:vAlign w:val="center"/>
          </w:tcPr>
          <w:p w14:paraId="2E4FAFE1" w14:textId="6E98B725" w:rsidR="00315766" w:rsidRPr="000D1534" w:rsidRDefault="00F01797">
            <w:pPr>
              <w:spacing w:after="0" w:line="240" w:lineRule="auto"/>
              <w:jc w:val="both"/>
              <w:rPr>
                <w:rFonts w:ascii="Arial" w:eastAsia="Times New Roman" w:hAnsi="Arial" w:cs="Arial"/>
                <w:sz w:val="18"/>
                <w:szCs w:val="18"/>
                <w:lang w:eastAsia="nl-BE"/>
              </w:rPr>
            </w:pPr>
            <w:r w:rsidRPr="000D1534">
              <w:rPr>
                <w:rFonts w:ascii="Arial" w:eastAsia="Times New Roman" w:hAnsi="Arial" w:cs="Arial"/>
                <w:sz w:val="18"/>
                <w:szCs w:val="18"/>
                <w:lang w:eastAsia="nl-BE"/>
              </w:rPr>
              <w:t xml:space="preserve">Ga na of de vastleggingen werden aangehouden of werden geannuleerd in overeenstemming met volgende bepaling uit </w:t>
            </w:r>
            <w:r w:rsidR="00603413">
              <w:rPr>
                <w:rFonts w:ascii="Arial" w:eastAsia="Times New Roman" w:hAnsi="Arial" w:cs="Arial"/>
                <w:sz w:val="18"/>
                <w:szCs w:val="18"/>
                <w:lang w:eastAsia="nl-BE"/>
              </w:rPr>
              <w:t>de</w:t>
            </w:r>
            <w:r w:rsidR="00603413" w:rsidRPr="000D1534">
              <w:rPr>
                <w:rFonts w:ascii="Arial" w:eastAsia="Times New Roman" w:hAnsi="Arial" w:cs="Arial"/>
                <w:sz w:val="18"/>
                <w:szCs w:val="18"/>
                <w:lang w:eastAsia="nl-BE"/>
              </w:rPr>
              <w:t xml:space="preserve"> </w:t>
            </w:r>
            <w:r w:rsidRPr="000D1534">
              <w:rPr>
                <w:rFonts w:ascii="Arial" w:eastAsia="Times New Roman" w:hAnsi="Arial" w:cs="Arial"/>
                <w:sz w:val="18"/>
                <w:szCs w:val="18"/>
                <w:lang w:eastAsia="nl-BE"/>
              </w:rPr>
              <w:t>VCO:</w:t>
            </w:r>
          </w:p>
          <w:p w14:paraId="7DB7F042" w14:textId="77777777" w:rsidR="00F01797" w:rsidRPr="000D1534" w:rsidRDefault="00F01797">
            <w:pPr>
              <w:spacing w:after="0" w:line="240" w:lineRule="auto"/>
              <w:jc w:val="both"/>
              <w:rPr>
                <w:rFonts w:ascii="Arial" w:hAnsi="Arial" w:cs="Arial"/>
                <w:sz w:val="18"/>
                <w:szCs w:val="18"/>
                <w:lang w:val="nl-NL"/>
              </w:rPr>
            </w:pPr>
            <w:r w:rsidRPr="000D1534">
              <w:rPr>
                <w:rFonts w:ascii="Arial" w:hAnsi="Arial" w:cs="Arial"/>
                <w:b/>
                <w:bCs/>
                <w:sz w:val="18"/>
                <w:szCs w:val="18"/>
                <w:lang w:val="nl-NL"/>
              </w:rPr>
              <w:t>Vastleggingen zijn overdraagbaar</w:t>
            </w:r>
            <w:r w:rsidRPr="000D1534">
              <w:rPr>
                <w:rFonts w:ascii="Arial" w:hAnsi="Arial" w:cs="Arial"/>
                <w:sz w:val="18"/>
                <w:szCs w:val="18"/>
                <w:lang w:val="nl-NL"/>
              </w:rPr>
              <w:t xml:space="preserve"> voor de periode waarin de onderliggende verbintenis loopt.</w:t>
            </w:r>
          </w:p>
          <w:p w14:paraId="6AD4EF13" w14:textId="73B6F75B" w:rsidR="00F01797" w:rsidRPr="000D1534" w:rsidRDefault="00F01797">
            <w:pPr>
              <w:spacing w:after="0" w:line="240" w:lineRule="auto"/>
              <w:jc w:val="both"/>
              <w:rPr>
                <w:rFonts w:ascii="Arial" w:hAnsi="Arial" w:cs="Arial"/>
                <w:sz w:val="18"/>
                <w:szCs w:val="18"/>
                <w:lang w:val="nl-NL"/>
              </w:rPr>
            </w:pPr>
            <w:r w:rsidRPr="000D1534">
              <w:rPr>
                <w:rFonts w:ascii="Arial" w:hAnsi="Arial" w:cs="Arial"/>
                <w:sz w:val="18"/>
                <w:szCs w:val="18"/>
                <w:lang w:val="nl-NL"/>
              </w:rPr>
              <w:t xml:space="preserve">Als de vastlegging evenwel betrekking heeft op een </w:t>
            </w:r>
            <w:r w:rsidRPr="000D1534">
              <w:rPr>
                <w:rFonts w:ascii="Arial" w:hAnsi="Arial" w:cs="Arial"/>
                <w:b/>
                <w:bCs/>
                <w:sz w:val="18"/>
                <w:szCs w:val="18"/>
                <w:lang w:val="nl-NL"/>
              </w:rPr>
              <w:t>verbintenis waarvan de identiteit van de schuldeiser of het bedrag van de verbintenis niet bepaald is</w:t>
            </w:r>
            <w:r w:rsidRPr="000D1534">
              <w:rPr>
                <w:rFonts w:ascii="Arial" w:hAnsi="Arial" w:cs="Arial"/>
                <w:sz w:val="18"/>
                <w:szCs w:val="18"/>
                <w:lang w:val="nl-NL"/>
              </w:rPr>
              <w:t xml:space="preserve"> maar alleen bepaalbaar, kan ze maar één jaar worden overgedragen.</w:t>
            </w:r>
          </w:p>
          <w:p w14:paraId="24040E36" w14:textId="4D3C5412" w:rsidR="00F01797" w:rsidRPr="000D1534" w:rsidRDefault="00F01797">
            <w:pPr>
              <w:spacing w:after="0" w:line="240" w:lineRule="auto"/>
              <w:jc w:val="both"/>
              <w:rPr>
                <w:rFonts w:ascii="Arial" w:eastAsia="Times New Roman" w:hAnsi="Arial" w:cs="Arial"/>
                <w:sz w:val="18"/>
                <w:szCs w:val="18"/>
                <w:lang w:eastAsia="nl-BE"/>
              </w:rPr>
            </w:pPr>
            <w:r w:rsidRPr="000D1534">
              <w:rPr>
                <w:rFonts w:ascii="Arial" w:hAnsi="Arial" w:cs="Arial"/>
                <w:sz w:val="18"/>
                <w:szCs w:val="18"/>
                <w:lang w:val="nl-NL"/>
              </w:rPr>
              <w:lastRenderedPageBreak/>
              <w:br/>
              <w:t xml:space="preserve">Een vastlegging wordt </w:t>
            </w:r>
            <w:r w:rsidRPr="000D1534">
              <w:rPr>
                <w:rFonts w:ascii="Arial" w:hAnsi="Arial" w:cs="Arial"/>
                <w:b/>
                <w:bCs/>
                <w:sz w:val="18"/>
                <w:szCs w:val="18"/>
                <w:lang w:val="nl-NL"/>
              </w:rPr>
              <w:t>geannuleerd</w:t>
            </w:r>
            <w:r w:rsidRPr="000D1534">
              <w:rPr>
                <w:rFonts w:ascii="Arial" w:hAnsi="Arial" w:cs="Arial"/>
                <w:sz w:val="18"/>
                <w:szCs w:val="18"/>
                <w:lang w:val="nl-NL"/>
              </w:rPr>
              <w:t xml:space="preserve"> als er geen verplichting meer uit kan ontstaan en uiterlijk na acht jaar, tenzij de onderliggende verbintenis nog in uitvoering is. De Vlaamse Regering bepaalt de modaliteiten om de vastleggingen te annuleren.</w:t>
            </w:r>
          </w:p>
          <w:p w14:paraId="0E3B2E0F" w14:textId="2413FFF9" w:rsidR="00F01797" w:rsidRPr="000D1534" w:rsidRDefault="00F01797" w:rsidP="005155AA">
            <w:pPr>
              <w:spacing w:after="0" w:line="240" w:lineRule="auto"/>
              <w:jc w:val="both"/>
              <w:rPr>
                <w:rFonts w:ascii="Arial" w:eastAsia="Times New Roman" w:hAnsi="Arial" w:cs="Arial"/>
                <w:sz w:val="18"/>
                <w:szCs w:val="18"/>
                <w:lang w:eastAsia="nl-BE"/>
              </w:rPr>
            </w:pPr>
          </w:p>
        </w:tc>
        <w:tc>
          <w:tcPr>
            <w:tcW w:w="1564" w:type="dxa"/>
            <w:tcBorders>
              <w:top w:val="nil"/>
              <w:left w:val="nil"/>
              <w:bottom w:val="single" w:sz="4" w:space="0" w:color="auto"/>
              <w:right w:val="single" w:sz="4" w:space="0" w:color="auto"/>
            </w:tcBorders>
            <w:shd w:val="clear" w:color="000000" w:fill="F2F2F2"/>
            <w:noWrap/>
            <w:vAlign w:val="center"/>
          </w:tcPr>
          <w:p w14:paraId="0F629FF0" w14:textId="1E7213AD" w:rsidR="00315766" w:rsidRPr="005155AA" w:rsidRDefault="00F6213C" w:rsidP="00596805">
            <w:pPr>
              <w:spacing w:after="0" w:line="240" w:lineRule="auto"/>
              <w:jc w:val="center"/>
              <w:rPr>
                <w:rFonts w:ascii="Arial" w:eastAsia="Times New Roman" w:hAnsi="Arial" w:cs="Arial"/>
                <w:color w:val="000000"/>
                <w:sz w:val="18"/>
                <w:szCs w:val="18"/>
                <w:lang w:eastAsia="nl-BE"/>
              </w:rPr>
            </w:pPr>
            <w:r>
              <w:rPr>
                <w:rFonts w:ascii="Arial" w:eastAsia="Times New Roman" w:hAnsi="Arial" w:cs="Arial"/>
                <w:color w:val="000000"/>
                <w:sz w:val="18"/>
                <w:szCs w:val="18"/>
                <w:lang w:eastAsia="nl-BE"/>
              </w:rPr>
              <w:lastRenderedPageBreak/>
              <w:t>a</w:t>
            </w:r>
            <w:r w:rsidR="00315766" w:rsidRPr="005155AA">
              <w:rPr>
                <w:rFonts w:ascii="Arial" w:eastAsia="Times New Roman" w:hAnsi="Arial" w:cs="Arial"/>
                <w:color w:val="000000"/>
                <w:sz w:val="18"/>
                <w:szCs w:val="18"/>
                <w:lang w:eastAsia="nl-BE"/>
              </w:rPr>
              <w:t>rtikel 38 VCO</w:t>
            </w:r>
          </w:p>
        </w:tc>
        <w:tc>
          <w:tcPr>
            <w:tcW w:w="1631" w:type="dxa"/>
            <w:tcBorders>
              <w:top w:val="nil"/>
              <w:left w:val="nil"/>
              <w:bottom w:val="single" w:sz="4" w:space="0" w:color="auto"/>
              <w:right w:val="single" w:sz="4" w:space="0" w:color="auto"/>
            </w:tcBorders>
            <w:shd w:val="clear" w:color="000000" w:fill="F2F2F2"/>
            <w:noWrap/>
            <w:vAlign w:val="bottom"/>
          </w:tcPr>
          <w:p w14:paraId="559E6D4A" w14:textId="77777777" w:rsidR="00315766" w:rsidRPr="005155AA" w:rsidRDefault="00315766" w:rsidP="00596805">
            <w:pPr>
              <w:spacing w:after="0" w:line="240" w:lineRule="auto"/>
              <w:rPr>
                <w:rFonts w:ascii="Arial" w:eastAsia="Times New Roman" w:hAnsi="Arial" w:cs="Arial"/>
                <w:color w:val="000000"/>
                <w:sz w:val="18"/>
                <w:szCs w:val="18"/>
                <w:lang w:eastAsia="nl-BE"/>
              </w:rPr>
            </w:pPr>
          </w:p>
        </w:tc>
      </w:tr>
      <w:tr w:rsidR="00596805" w:rsidRPr="00F01797" w14:paraId="1DE74541" w14:textId="77777777" w:rsidTr="000D1534">
        <w:trPr>
          <w:trHeight w:val="1845"/>
        </w:trPr>
        <w:tc>
          <w:tcPr>
            <w:tcW w:w="2375"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419F62F8" w14:textId="77777777" w:rsidR="00596805" w:rsidRPr="005155AA" w:rsidRDefault="00596805" w:rsidP="00596805">
            <w:pPr>
              <w:spacing w:after="0" w:line="240" w:lineRule="auto"/>
              <w:jc w:val="center"/>
              <w:rPr>
                <w:rFonts w:ascii="Arial" w:eastAsia="Times New Roman" w:hAnsi="Arial" w:cs="Arial"/>
                <w:color w:val="000000"/>
                <w:sz w:val="18"/>
                <w:szCs w:val="18"/>
                <w:lang w:eastAsia="nl-BE"/>
              </w:rPr>
            </w:pPr>
            <w:r w:rsidRPr="005155AA">
              <w:rPr>
                <w:rFonts w:ascii="Arial" w:eastAsia="Times New Roman" w:hAnsi="Arial" w:cs="Arial"/>
                <w:color w:val="000000"/>
                <w:sz w:val="18"/>
                <w:szCs w:val="18"/>
                <w:lang w:eastAsia="nl-BE"/>
              </w:rPr>
              <w:t>Aanrekening</w:t>
            </w:r>
          </w:p>
        </w:tc>
        <w:tc>
          <w:tcPr>
            <w:tcW w:w="3490" w:type="dxa"/>
            <w:tcBorders>
              <w:top w:val="nil"/>
              <w:left w:val="nil"/>
              <w:bottom w:val="single" w:sz="4" w:space="0" w:color="auto"/>
              <w:right w:val="single" w:sz="4" w:space="0" w:color="auto"/>
            </w:tcBorders>
            <w:shd w:val="clear" w:color="000000" w:fill="F2F2F2"/>
            <w:vAlign w:val="center"/>
            <w:hideMark/>
          </w:tcPr>
          <w:p w14:paraId="1AA4A847" w14:textId="77777777" w:rsidR="00596805" w:rsidRPr="000D1534" w:rsidRDefault="00596805" w:rsidP="005155AA">
            <w:pPr>
              <w:spacing w:after="0" w:line="240" w:lineRule="auto"/>
              <w:jc w:val="both"/>
              <w:rPr>
                <w:rFonts w:ascii="Arial" w:eastAsia="Times New Roman" w:hAnsi="Arial" w:cs="Arial"/>
                <w:sz w:val="18"/>
                <w:szCs w:val="18"/>
                <w:lang w:eastAsia="nl-BE"/>
              </w:rPr>
            </w:pPr>
            <w:r w:rsidRPr="000D1534">
              <w:rPr>
                <w:rFonts w:ascii="Arial" w:eastAsia="Times New Roman" w:hAnsi="Arial" w:cs="Arial"/>
                <w:sz w:val="18"/>
                <w:szCs w:val="18"/>
                <w:lang w:eastAsia="nl-BE"/>
              </w:rPr>
              <w:t xml:space="preserve">Voor het inboeken van de dubieuze vordering is er een aanwijzing dat het bedrag van de vordering geheel of gedeeltelijk niet inbaar is ten opzichte van de schuldenaar of het is onrendabel. Tegelijkertijd werd er een waardevermindering geboekt. </w:t>
            </w:r>
          </w:p>
        </w:tc>
        <w:tc>
          <w:tcPr>
            <w:tcW w:w="1564" w:type="dxa"/>
            <w:tcBorders>
              <w:top w:val="nil"/>
              <w:left w:val="nil"/>
              <w:bottom w:val="single" w:sz="4" w:space="0" w:color="auto"/>
              <w:right w:val="single" w:sz="4" w:space="0" w:color="auto"/>
            </w:tcBorders>
            <w:shd w:val="clear" w:color="000000" w:fill="F2F2F2"/>
            <w:noWrap/>
            <w:vAlign w:val="center"/>
            <w:hideMark/>
          </w:tcPr>
          <w:p w14:paraId="39D859A6" w14:textId="0553602D" w:rsidR="00596805" w:rsidRPr="005155AA" w:rsidRDefault="00596805" w:rsidP="00596805">
            <w:pPr>
              <w:spacing w:after="0" w:line="240" w:lineRule="auto"/>
              <w:jc w:val="center"/>
              <w:rPr>
                <w:rFonts w:ascii="Arial" w:eastAsia="Times New Roman" w:hAnsi="Arial" w:cs="Arial"/>
                <w:color w:val="000000"/>
                <w:sz w:val="18"/>
                <w:szCs w:val="18"/>
                <w:lang w:eastAsia="nl-BE"/>
              </w:rPr>
            </w:pPr>
            <w:r w:rsidRPr="005155AA">
              <w:rPr>
                <w:rFonts w:ascii="Arial" w:eastAsia="Times New Roman" w:hAnsi="Arial" w:cs="Arial"/>
                <w:color w:val="000000"/>
                <w:sz w:val="18"/>
                <w:szCs w:val="18"/>
                <w:lang w:eastAsia="nl-BE"/>
              </w:rPr>
              <w:t xml:space="preserve">artikel 39 </w:t>
            </w:r>
            <w:r w:rsidR="00F01797" w:rsidRPr="005155AA">
              <w:rPr>
                <w:rFonts w:ascii="Arial" w:eastAsia="Times New Roman" w:hAnsi="Arial" w:cs="Arial"/>
                <w:color w:val="000000"/>
                <w:sz w:val="18"/>
                <w:szCs w:val="18"/>
                <w:lang w:eastAsia="nl-BE"/>
              </w:rPr>
              <w:t xml:space="preserve"> </w:t>
            </w:r>
            <w:r w:rsidRPr="005155AA">
              <w:rPr>
                <w:rFonts w:ascii="Arial" w:eastAsia="Times New Roman" w:hAnsi="Arial" w:cs="Arial"/>
                <w:color w:val="000000"/>
                <w:sz w:val="18"/>
                <w:szCs w:val="18"/>
                <w:lang w:eastAsia="nl-BE"/>
              </w:rPr>
              <w:t>VCO</w:t>
            </w:r>
          </w:p>
        </w:tc>
        <w:tc>
          <w:tcPr>
            <w:tcW w:w="1631" w:type="dxa"/>
            <w:tcBorders>
              <w:top w:val="nil"/>
              <w:left w:val="nil"/>
              <w:bottom w:val="single" w:sz="4" w:space="0" w:color="auto"/>
              <w:right w:val="single" w:sz="4" w:space="0" w:color="auto"/>
            </w:tcBorders>
            <w:shd w:val="clear" w:color="000000" w:fill="F2F2F2"/>
            <w:noWrap/>
            <w:vAlign w:val="bottom"/>
            <w:hideMark/>
          </w:tcPr>
          <w:p w14:paraId="3BF41570" w14:textId="77777777" w:rsidR="00596805" w:rsidRPr="005155AA" w:rsidRDefault="00596805" w:rsidP="00596805">
            <w:pPr>
              <w:spacing w:after="0" w:line="240" w:lineRule="auto"/>
              <w:rPr>
                <w:rFonts w:ascii="Arial" w:eastAsia="Times New Roman" w:hAnsi="Arial" w:cs="Arial"/>
                <w:color w:val="000000"/>
                <w:sz w:val="18"/>
                <w:szCs w:val="18"/>
                <w:lang w:eastAsia="nl-BE"/>
              </w:rPr>
            </w:pPr>
            <w:r w:rsidRPr="005155AA">
              <w:rPr>
                <w:rFonts w:ascii="Arial" w:eastAsia="Times New Roman" w:hAnsi="Arial" w:cs="Arial"/>
                <w:color w:val="000000"/>
                <w:sz w:val="18"/>
                <w:szCs w:val="18"/>
                <w:lang w:eastAsia="nl-BE"/>
              </w:rPr>
              <w:t> </w:t>
            </w:r>
          </w:p>
        </w:tc>
      </w:tr>
      <w:tr w:rsidR="00596805" w:rsidRPr="00F01797" w14:paraId="10017FB5" w14:textId="77777777" w:rsidTr="000D1534">
        <w:trPr>
          <w:trHeight w:val="1350"/>
        </w:trPr>
        <w:tc>
          <w:tcPr>
            <w:tcW w:w="2375"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4C5880BD" w14:textId="77777777" w:rsidR="00596805" w:rsidRPr="005155AA" w:rsidRDefault="00596805" w:rsidP="00596805">
            <w:pPr>
              <w:spacing w:after="0" w:line="240" w:lineRule="auto"/>
              <w:jc w:val="center"/>
              <w:rPr>
                <w:rFonts w:ascii="Arial" w:eastAsia="Times New Roman" w:hAnsi="Arial" w:cs="Arial"/>
                <w:color w:val="000000"/>
                <w:sz w:val="18"/>
                <w:szCs w:val="18"/>
                <w:lang w:eastAsia="nl-BE"/>
              </w:rPr>
            </w:pPr>
            <w:r w:rsidRPr="005155AA">
              <w:rPr>
                <w:rFonts w:ascii="Arial" w:eastAsia="Times New Roman" w:hAnsi="Arial" w:cs="Arial"/>
                <w:color w:val="000000"/>
                <w:sz w:val="18"/>
                <w:szCs w:val="18"/>
                <w:lang w:eastAsia="nl-BE"/>
              </w:rPr>
              <w:t>Aanrekening</w:t>
            </w:r>
          </w:p>
        </w:tc>
        <w:tc>
          <w:tcPr>
            <w:tcW w:w="3490" w:type="dxa"/>
            <w:tcBorders>
              <w:top w:val="nil"/>
              <w:left w:val="nil"/>
              <w:bottom w:val="single" w:sz="4" w:space="0" w:color="auto"/>
              <w:right w:val="single" w:sz="4" w:space="0" w:color="auto"/>
            </w:tcBorders>
            <w:shd w:val="clear" w:color="000000" w:fill="F2F2F2"/>
            <w:vAlign w:val="center"/>
            <w:hideMark/>
          </w:tcPr>
          <w:p w14:paraId="7A4FC05A" w14:textId="77777777" w:rsidR="00596805" w:rsidRPr="005155AA" w:rsidRDefault="00596805" w:rsidP="005155AA">
            <w:pPr>
              <w:spacing w:after="0" w:line="240" w:lineRule="auto"/>
              <w:jc w:val="both"/>
              <w:rPr>
                <w:rFonts w:ascii="Arial" w:eastAsia="Times New Roman" w:hAnsi="Arial" w:cs="Arial"/>
                <w:color w:val="000000"/>
                <w:sz w:val="18"/>
                <w:szCs w:val="18"/>
                <w:lang w:eastAsia="nl-BE"/>
              </w:rPr>
            </w:pPr>
            <w:r w:rsidRPr="005155AA">
              <w:rPr>
                <w:rFonts w:ascii="Arial" w:eastAsia="Times New Roman" w:hAnsi="Arial" w:cs="Arial"/>
                <w:color w:val="000000"/>
                <w:sz w:val="18"/>
                <w:szCs w:val="18"/>
                <w:lang w:eastAsia="nl-BE"/>
              </w:rPr>
              <w:t xml:space="preserve">De vordering wordt uitgeboekt wanneer er verantwoordingsstukken zijn waaruit blijkt dat een correctie t.o.v. de eerder geboekte vordering is gerechtvaardigd of de verbintenis is tenietgegaan.   </w:t>
            </w:r>
          </w:p>
        </w:tc>
        <w:tc>
          <w:tcPr>
            <w:tcW w:w="1564" w:type="dxa"/>
            <w:tcBorders>
              <w:top w:val="nil"/>
              <w:left w:val="nil"/>
              <w:bottom w:val="single" w:sz="4" w:space="0" w:color="auto"/>
              <w:right w:val="single" w:sz="4" w:space="0" w:color="auto"/>
            </w:tcBorders>
            <w:shd w:val="clear" w:color="000000" w:fill="F2F2F2"/>
            <w:noWrap/>
            <w:vAlign w:val="center"/>
            <w:hideMark/>
          </w:tcPr>
          <w:p w14:paraId="609339E6" w14:textId="77777777" w:rsidR="00596805" w:rsidRPr="005155AA" w:rsidRDefault="00596805" w:rsidP="00596805">
            <w:pPr>
              <w:spacing w:after="0" w:line="240" w:lineRule="auto"/>
              <w:jc w:val="center"/>
              <w:rPr>
                <w:rFonts w:ascii="Arial" w:eastAsia="Times New Roman" w:hAnsi="Arial" w:cs="Arial"/>
                <w:color w:val="000000"/>
                <w:sz w:val="18"/>
                <w:szCs w:val="18"/>
                <w:lang w:eastAsia="nl-BE"/>
              </w:rPr>
            </w:pPr>
            <w:r w:rsidRPr="005155AA">
              <w:rPr>
                <w:rFonts w:ascii="Arial" w:eastAsia="Times New Roman" w:hAnsi="Arial" w:cs="Arial"/>
                <w:color w:val="000000"/>
                <w:sz w:val="18"/>
                <w:szCs w:val="18"/>
                <w:lang w:eastAsia="nl-BE"/>
              </w:rPr>
              <w:t>artikel 40 VCO</w:t>
            </w:r>
          </w:p>
        </w:tc>
        <w:tc>
          <w:tcPr>
            <w:tcW w:w="1631" w:type="dxa"/>
            <w:tcBorders>
              <w:top w:val="nil"/>
              <w:left w:val="nil"/>
              <w:bottom w:val="single" w:sz="4" w:space="0" w:color="auto"/>
              <w:right w:val="single" w:sz="4" w:space="0" w:color="auto"/>
            </w:tcBorders>
            <w:shd w:val="clear" w:color="000000" w:fill="F2F2F2"/>
            <w:noWrap/>
            <w:vAlign w:val="bottom"/>
            <w:hideMark/>
          </w:tcPr>
          <w:p w14:paraId="0B211A7A" w14:textId="77777777" w:rsidR="00596805" w:rsidRPr="005155AA" w:rsidRDefault="00596805" w:rsidP="00596805">
            <w:pPr>
              <w:spacing w:after="0" w:line="240" w:lineRule="auto"/>
              <w:rPr>
                <w:rFonts w:ascii="Arial" w:eastAsia="Times New Roman" w:hAnsi="Arial" w:cs="Arial"/>
                <w:color w:val="000000"/>
                <w:sz w:val="18"/>
                <w:szCs w:val="18"/>
                <w:lang w:eastAsia="nl-BE"/>
              </w:rPr>
            </w:pPr>
            <w:r w:rsidRPr="005155AA">
              <w:rPr>
                <w:rFonts w:ascii="Arial" w:eastAsia="Times New Roman" w:hAnsi="Arial" w:cs="Arial"/>
                <w:color w:val="000000"/>
                <w:sz w:val="18"/>
                <w:szCs w:val="18"/>
                <w:lang w:eastAsia="nl-BE"/>
              </w:rPr>
              <w:t> </w:t>
            </w:r>
          </w:p>
        </w:tc>
      </w:tr>
      <w:tr w:rsidR="00395D8C" w:rsidRPr="00F01797" w14:paraId="6EF2941E" w14:textId="77777777" w:rsidTr="0007383E">
        <w:trPr>
          <w:trHeight w:val="1140"/>
        </w:trPr>
        <w:tc>
          <w:tcPr>
            <w:tcW w:w="2375"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044B405" w14:textId="61D868CF" w:rsidR="00395D8C" w:rsidRPr="005155AA" w:rsidRDefault="00395D8C" w:rsidP="00596805">
            <w:pPr>
              <w:spacing w:after="0" w:line="240" w:lineRule="auto"/>
              <w:jc w:val="center"/>
              <w:rPr>
                <w:rFonts w:ascii="Arial" w:eastAsia="Times New Roman" w:hAnsi="Arial" w:cs="Arial"/>
                <w:color w:val="000000"/>
                <w:sz w:val="18"/>
                <w:szCs w:val="18"/>
                <w:lang w:eastAsia="nl-BE"/>
              </w:rPr>
            </w:pPr>
            <w:r>
              <w:rPr>
                <w:rFonts w:ascii="Arial" w:eastAsia="Times New Roman" w:hAnsi="Arial" w:cs="Arial"/>
                <w:color w:val="000000"/>
                <w:sz w:val="18"/>
                <w:szCs w:val="18"/>
                <w:lang w:eastAsia="nl-BE"/>
              </w:rPr>
              <w:t>Aanrekening</w:t>
            </w:r>
          </w:p>
        </w:tc>
        <w:tc>
          <w:tcPr>
            <w:tcW w:w="3490" w:type="dxa"/>
            <w:tcBorders>
              <w:top w:val="nil"/>
              <w:left w:val="nil"/>
              <w:bottom w:val="single" w:sz="4" w:space="0" w:color="auto"/>
              <w:right w:val="single" w:sz="4" w:space="0" w:color="auto"/>
            </w:tcBorders>
            <w:shd w:val="clear" w:color="000000" w:fill="F2F2F2"/>
            <w:vAlign w:val="center"/>
          </w:tcPr>
          <w:p w14:paraId="5A815AA9" w14:textId="77777777" w:rsidR="002D2A65" w:rsidRDefault="002D2A65" w:rsidP="005155AA">
            <w:pPr>
              <w:spacing w:after="0" w:line="240" w:lineRule="auto"/>
              <w:jc w:val="both"/>
              <w:rPr>
                <w:rFonts w:ascii="Arial" w:eastAsia="Times New Roman" w:hAnsi="Arial" w:cs="Arial"/>
                <w:color w:val="000000"/>
                <w:sz w:val="18"/>
                <w:szCs w:val="18"/>
                <w:lang w:eastAsia="nl-BE"/>
              </w:rPr>
            </w:pPr>
          </w:p>
          <w:p w14:paraId="5913C1EA" w14:textId="3029837D" w:rsidR="00395D8C" w:rsidRDefault="00395D8C" w:rsidP="005155AA">
            <w:pPr>
              <w:spacing w:after="0" w:line="240" w:lineRule="auto"/>
              <w:jc w:val="both"/>
              <w:rPr>
                <w:rFonts w:ascii="Arial" w:eastAsia="Times New Roman" w:hAnsi="Arial" w:cs="Arial"/>
                <w:color w:val="000000"/>
                <w:sz w:val="18"/>
                <w:szCs w:val="18"/>
                <w:lang w:eastAsia="nl-BE"/>
              </w:rPr>
            </w:pPr>
            <w:r>
              <w:rPr>
                <w:rFonts w:ascii="Arial" w:eastAsia="Times New Roman" w:hAnsi="Arial" w:cs="Arial"/>
                <w:color w:val="000000"/>
                <w:sz w:val="18"/>
                <w:szCs w:val="18"/>
                <w:lang w:eastAsia="nl-BE"/>
              </w:rPr>
              <w:t>De algemene bepalingen inzake de verjaring (art. 15 en 16 van de Algemene</w:t>
            </w:r>
            <w:r w:rsidR="00647678">
              <w:rPr>
                <w:rFonts w:ascii="Arial" w:eastAsia="Times New Roman" w:hAnsi="Arial" w:cs="Arial"/>
                <w:color w:val="000000"/>
                <w:sz w:val="18"/>
                <w:szCs w:val="18"/>
                <w:lang w:eastAsia="nl-BE"/>
              </w:rPr>
              <w:t xml:space="preserve"> </w:t>
            </w:r>
            <w:r>
              <w:rPr>
                <w:rFonts w:ascii="Arial" w:eastAsia="Times New Roman" w:hAnsi="Arial" w:cs="Arial"/>
                <w:color w:val="000000"/>
                <w:sz w:val="18"/>
                <w:szCs w:val="18"/>
                <w:lang w:eastAsia="nl-BE"/>
              </w:rPr>
              <w:t>bepalingenwet van 16 mei 2003) zijn van toepassing op de Vlaamse rechtspersonen.</w:t>
            </w:r>
          </w:p>
          <w:p w14:paraId="76BAF376" w14:textId="2F7FE8D3" w:rsidR="002D2A65" w:rsidRPr="005155AA" w:rsidRDefault="002D2A65" w:rsidP="005155AA">
            <w:pPr>
              <w:spacing w:after="0" w:line="240" w:lineRule="auto"/>
              <w:jc w:val="both"/>
              <w:rPr>
                <w:rFonts w:ascii="Arial" w:eastAsia="Times New Roman" w:hAnsi="Arial" w:cs="Arial"/>
                <w:color w:val="000000"/>
                <w:sz w:val="18"/>
                <w:szCs w:val="18"/>
                <w:lang w:eastAsia="nl-BE"/>
              </w:rPr>
            </w:pPr>
          </w:p>
        </w:tc>
        <w:tc>
          <w:tcPr>
            <w:tcW w:w="1564" w:type="dxa"/>
            <w:tcBorders>
              <w:top w:val="nil"/>
              <w:left w:val="nil"/>
              <w:bottom w:val="single" w:sz="4" w:space="0" w:color="auto"/>
              <w:right w:val="single" w:sz="4" w:space="0" w:color="auto"/>
            </w:tcBorders>
            <w:shd w:val="clear" w:color="000000" w:fill="F2F2F2"/>
            <w:noWrap/>
            <w:vAlign w:val="center"/>
          </w:tcPr>
          <w:p w14:paraId="7D1AF94A" w14:textId="40035CAA" w:rsidR="00395D8C" w:rsidRPr="005155AA" w:rsidRDefault="00395D8C" w:rsidP="00596805">
            <w:pPr>
              <w:spacing w:after="0" w:line="240" w:lineRule="auto"/>
              <w:jc w:val="center"/>
              <w:rPr>
                <w:rFonts w:ascii="Arial" w:eastAsia="Times New Roman" w:hAnsi="Arial" w:cs="Arial"/>
                <w:color w:val="000000"/>
                <w:sz w:val="18"/>
                <w:szCs w:val="18"/>
                <w:lang w:eastAsia="nl-BE"/>
              </w:rPr>
            </w:pPr>
            <w:r>
              <w:rPr>
                <w:rFonts w:ascii="Arial" w:eastAsia="Times New Roman" w:hAnsi="Arial" w:cs="Arial"/>
                <w:color w:val="000000"/>
                <w:sz w:val="18"/>
                <w:szCs w:val="18"/>
                <w:lang w:eastAsia="nl-BE"/>
              </w:rPr>
              <w:t>artikel 41 VCO</w:t>
            </w:r>
          </w:p>
        </w:tc>
        <w:tc>
          <w:tcPr>
            <w:tcW w:w="1631" w:type="dxa"/>
            <w:tcBorders>
              <w:top w:val="nil"/>
              <w:left w:val="nil"/>
              <w:bottom w:val="single" w:sz="4" w:space="0" w:color="auto"/>
              <w:right w:val="single" w:sz="4" w:space="0" w:color="auto"/>
            </w:tcBorders>
            <w:shd w:val="clear" w:color="000000" w:fill="F2F2F2"/>
            <w:noWrap/>
            <w:vAlign w:val="center"/>
          </w:tcPr>
          <w:p w14:paraId="0EDA7CCE" w14:textId="77777777" w:rsidR="00395D8C" w:rsidRPr="005155AA" w:rsidRDefault="00395D8C" w:rsidP="00596805">
            <w:pPr>
              <w:spacing w:after="0" w:line="240" w:lineRule="auto"/>
              <w:jc w:val="center"/>
              <w:rPr>
                <w:rFonts w:ascii="Arial" w:eastAsia="Times New Roman" w:hAnsi="Arial" w:cs="Arial"/>
                <w:color w:val="000000"/>
                <w:sz w:val="18"/>
                <w:szCs w:val="18"/>
                <w:lang w:eastAsia="nl-BE"/>
              </w:rPr>
            </w:pPr>
          </w:p>
        </w:tc>
      </w:tr>
      <w:tr w:rsidR="00596805" w:rsidRPr="00F01797" w14:paraId="3F70E181" w14:textId="77777777" w:rsidTr="000D1534">
        <w:trPr>
          <w:trHeight w:val="1140"/>
        </w:trPr>
        <w:tc>
          <w:tcPr>
            <w:tcW w:w="2375"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248CFDE0" w14:textId="77777777" w:rsidR="00596805" w:rsidRPr="005155AA" w:rsidRDefault="00596805" w:rsidP="00596805">
            <w:pPr>
              <w:spacing w:after="0" w:line="240" w:lineRule="auto"/>
              <w:jc w:val="center"/>
              <w:rPr>
                <w:rFonts w:ascii="Arial" w:eastAsia="Times New Roman" w:hAnsi="Arial" w:cs="Arial"/>
                <w:color w:val="000000"/>
                <w:sz w:val="18"/>
                <w:szCs w:val="18"/>
                <w:lang w:eastAsia="nl-BE"/>
              </w:rPr>
            </w:pPr>
            <w:r w:rsidRPr="005155AA">
              <w:rPr>
                <w:rFonts w:ascii="Arial" w:eastAsia="Times New Roman" w:hAnsi="Arial" w:cs="Arial"/>
                <w:color w:val="000000"/>
                <w:sz w:val="18"/>
                <w:szCs w:val="18"/>
                <w:lang w:eastAsia="nl-BE"/>
              </w:rPr>
              <w:t>Rapportering</w:t>
            </w:r>
          </w:p>
        </w:tc>
        <w:tc>
          <w:tcPr>
            <w:tcW w:w="3490" w:type="dxa"/>
            <w:tcBorders>
              <w:top w:val="nil"/>
              <w:left w:val="nil"/>
              <w:bottom w:val="single" w:sz="4" w:space="0" w:color="auto"/>
              <w:right w:val="single" w:sz="4" w:space="0" w:color="auto"/>
            </w:tcBorders>
            <w:shd w:val="clear" w:color="000000" w:fill="F2F2F2"/>
            <w:vAlign w:val="center"/>
            <w:hideMark/>
          </w:tcPr>
          <w:p w14:paraId="4FF439EA" w14:textId="77777777" w:rsidR="00596805" w:rsidRPr="005155AA" w:rsidRDefault="00596805" w:rsidP="005155AA">
            <w:pPr>
              <w:spacing w:after="0" w:line="240" w:lineRule="auto"/>
              <w:jc w:val="both"/>
              <w:rPr>
                <w:rFonts w:ascii="Arial" w:eastAsia="Times New Roman" w:hAnsi="Arial" w:cs="Arial"/>
                <w:color w:val="000000"/>
                <w:sz w:val="18"/>
                <w:szCs w:val="18"/>
                <w:lang w:eastAsia="nl-BE"/>
              </w:rPr>
            </w:pPr>
            <w:r w:rsidRPr="005155AA">
              <w:rPr>
                <w:rFonts w:ascii="Arial" w:eastAsia="Times New Roman" w:hAnsi="Arial" w:cs="Arial"/>
                <w:color w:val="000000"/>
                <w:sz w:val="18"/>
                <w:szCs w:val="18"/>
                <w:lang w:eastAsia="nl-BE"/>
              </w:rPr>
              <w:t xml:space="preserve">De Vlaamse rechtspersonen stellen jaarlijks een rekening op conform de regels die de Vlaamse regering bepaalt. </w:t>
            </w:r>
          </w:p>
        </w:tc>
        <w:tc>
          <w:tcPr>
            <w:tcW w:w="1564" w:type="dxa"/>
            <w:tcBorders>
              <w:top w:val="nil"/>
              <w:left w:val="nil"/>
              <w:bottom w:val="single" w:sz="4" w:space="0" w:color="auto"/>
              <w:right w:val="single" w:sz="4" w:space="0" w:color="auto"/>
            </w:tcBorders>
            <w:shd w:val="clear" w:color="000000" w:fill="F2F2F2"/>
            <w:noWrap/>
            <w:vAlign w:val="center"/>
            <w:hideMark/>
          </w:tcPr>
          <w:p w14:paraId="675EA10B" w14:textId="1EC6168B" w:rsidR="00596805" w:rsidRPr="005155AA" w:rsidRDefault="00596805" w:rsidP="00596805">
            <w:pPr>
              <w:spacing w:after="0" w:line="240" w:lineRule="auto"/>
              <w:jc w:val="center"/>
              <w:rPr>
                <w:rFonts w:ascii="Arial" w:eastAsia="Times New Roman" w:hAnsi="Arial" w:cs="Arial"/>
                <w:color w:val="000000"/>
                <w:sz w:val="18"/>
                <w:szCs w:val="18"/>
                <w:lang w:eastAsia="nl-BE"/>
              </w:rPr>
            </w:pPr>
            <w:r w:rsidRPr="005155AA">
              <w:rPr>
                <w:rFonts w:ascii="Arial" w:eastAsia="Times New Roman" w:hAnsi="Arial" w:cs="Arial"/>
                <w:color w:val="000000"/>
                <w:sz w:val="18"/>
                <w:szCs w:val="18"/>
                <w:lang w:eastAsia="nl-BE"/>
              </w:rPr>
              <w:t>artikel 42</w:t>
            </w:r>
            <w:r w:rsidR="00731162">
              <w:rPr>
                <w:rFonts w:ascii="Arial" w:eastAsia="Times New Roman" w:hAnsi="Arial" w:cs="Arial"/>
                <w:color w:val="000000"/>
                <w:sz w:val="18"/>
                <w:szCs w:val="18"/>
                <w:lang w:eastAsia="nl-BE"/>
              </w:rPr>
              <w:t>,</w:t>
            </w:r>
            <w:r w:rsidRPr="005155AA">
              <w:rPr>
                <w:rFonts w:ascii="Arial" w:eastAsia="Times New Roman" w:hAnsi="Arial" w:cs="Arial"/>
                <w:color w:val="000000"/>
                <w:sz w:val="18"/>
                <w:szCs w:val="18"/>
                <w:lang w:eastAsia="nl-BE"/>
              </w:rPr>
              <w:t xml:space="preserve"> §</w:t>
            </w:r>
            <w:r w:rsidR="00731162">
              <w:rPr>
                <w:rFonts w:ascii="Arial" w:eastAsia="Times New Roman" w:hAnsi="Arial" w:cs="Arial"/>
                <w:color w:val="000000"/>
                <w:sz w:val="18"/>
                <w:szCs w:val="18"/>
                <w:lang w:eastAsia="nl-BE"/>
              </w:rPr>
              <w:t xml:space="preserve"> </w:t>
            </w:r>
            <w:r w:rsidRPr="005155AA">
              <w:rPr>
                <w:rFonts w:ascii="Arial" w:eastAsia="Times New Roman" w:hAnsi="Arial" w:cs="Arial"/>
                <w:color w:val="000000"/>
                <w:sz w:val="18"/>
                <w:szCs w:val="18"/>
                <w:lang w:eastAsia="nl-BE"/>
              </w:rPr>
              <w:t>1 VCO</w:t>
            </w:r>
          </w:p>
        </w:tc>
        <w:tc>
          <w:tcPr>
            <w:tcW w:w="1631" w:type="dxa"/>
            <w:tcBorders>
              <w:top w:val="nil"/>
              <w:left w:val="nil"/>
              <w:bottom w:val="single" w:sz="4" w:space="0" w:color="auto"/>
              <w:right w:val="single" w:sz="4" w:space="0" w:color="auto"/>
            </w:tcBorders>
            <w:shd w:val="clear" w:color="000000" w:fill="F2F2F2"/>
            <w:noWrap/>
            <w:vAlign w:val="center"/>
            <w:hideMark/>
          </w:tcPr>
          <w:p w14:paraId="34551770" w14:textId="77777777" w:rsidR="00596805" w:rsidRPr="005155AA" w:rsidRDefault="00596805" w:rsidP="00596805">
            <w:pPr>
              <w:spacing w:after="0" w:line="240" w:lineRule="auto"/>
              <w:jc w:val="center"/>
              <w:rPr>
                <w:rFonts w:ascii="Arial" w:eastAsia="Times New Roman" w:hAnsi="Arial" w:cs="Arial"/>
                <w:color w:val="000000"/>
                <w:sz w:val="18"/>
                <w:szCs w:val="18"/>
                <w:lang w:eastAsia="nl-BE"/>
              </w:rPr>
            </w:pPr>
            <w:r w:rsidRPr="005155AA">
              <w:rPr>
                <w:rFonts w:ascii="Arial" w:eastAsia="Times New Roman" w:hAnsi="Arial" w:cs="Arial"/>
                <w:color w:val="000000"/>
                <w:sz w:val="18"/>
                <w:szCs w:val="18"/>
                <w:lang w:eastAsia="nl-BE"/>
              </w:rPr>
              <w:t>artikel 23 BVCO</w:t>
            </w:r>
          </w:p>
        </w:tc>
      </w:tr>
      <w:tr w:rsidR="00596805" w:rsidRPr="00F01797" w14:paraId="66820FF9" w14:textId="77777777" w:rsidTr="000D1534">
        <w:trPr>
          <w:trHeight w:val="2655"/>
        </w:trPr>
        <w:tc>
          <w:tcPr>
            <w:tcW w:w="2375"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887E615" w14:textId="77777777" w:rsidR="00596805" w:rsidRPr="005155AA" w:rsidRDefault="00596805" w:rsidP="00596805">
            <w:pPr>
              <w:spacing w:after="0" w:line="240" w:lineRule="auto"/>
              <w:jc w:val="center"/>
              <w:rPr>
                <w:rFonts w:ascii="Arial" w:eastAsia="Times New Roman" w:hAnsi="Arial" w:cs="Arial"/>
                <w:color w:val="000000"/>
                <w:sz w:val="18"/>
                <w:szCs w:val="18"/>
                <w:lang w:eastAsia="nl-BE"/>
              </w:rPr>
            </w:pPr>
            <w:r w:rsidRPr="005155AA">
              <w:rPr>
                <w:rFonts w:ascii="Arial" w:eastAsia="Times New Roman" w:hAnsi="Arial" w:cs="Arial"/>
                <w:color w:val="000000"/>
                <w:sz w:val="18"/>
                <w:szCs w:val="18"/>
                <w:lang w:eastAsia="nl-BE"/>
              </w:rPr>
              <w:t>Rapportering</w:t>
            </w:r>
          </w:p>
        </w:tc>
        <w:tc>
          <w:tcPr>
            <w:tcW w:w="3490" w:type="dxa"/>
            <w:tcBorders>
              <w:top w:val="nil"/>
              <w:left w:val="nil"/>
              <w:bottom w:val="single" w:sz="4" w:space="0" w:color="auto"/>
              <w:right w:val="single" w:sz="4" w:space="0" w:color="auto"/>
            </w:tcBorders>
            <w:shd w:val="clear" w:color="000000" w:fill="F2F2F2"/>
            <w:vAlign w:val="center"/>
            <w:hideMark/>
          </w:tcPr>
          <w:p w14:paraId="409293C3" w14:textId="3DEC943F" w:rsidR="00596805" w:rsidRPr="005155AA" w:rsidRDefault="00596805" w:rsidP="005155AA">
            <w:pPr>
              <w:spacing w:after="0" w:line="240" w:lineRule="auto"/>
              <w:jc w:val="both"/>
              <w:rPr>
                <w:rFonts w:ascii="Arial" w:eastAsia="Times New Roman" w:hAnsi="Arial" w:cs="Arial"/>
                <w:color w:val="000000"/>
                <w:sz w:val="18"/>
                <w:szCs w:val="18"/>
                <w:lang w:eastAsia="nl-BE"/>
              </w:rPr>
            </w:pPr>
            <w:r w:rsidRPr="005155AA">
              <w:rPr>
                <w:rFonts w:ascii="Arial" w:eastAsia="Times New Roman" w:hAnsi="Arial" w:cs="Arial"/>
                <w:color w:val="000000"/>
                <w:sz w:val="18"/>
                <w:szCs w:val="18"/>
                <w:lang w:eastAsia="nl-BE"/>
              </w:rPr>
              <w:t>De rekening omvat een balans op 31/12, RR, rapportering en toelichting over de definitieve begroting en over de beleids-en begrotingsuitvoering, een toelichting over de balans en RR, een rapportering die toelaat te voldoen aan de verplichtingen van de EU, een rapportering die de aans</w:t>
            </w:r>
            <w:r w:rsidR="006123B9" w:rsidRPr="005155AA">
              <w:rPr>
                <w:rFonts w:ascii="Arial" w:eastAsia="Times New Roman" w:hAnsi="Arial" w:cs="Arial"/>
                <w:color w:val="000000"/>
                <w:sz w:val="18"/>
                <w:szCs w:val="18"/>
                <w:lang w:eastAsia="nl-BE"/>
              </w:rPr>
              <w:t>l</w:t>
            </w:r>
            <w:r w:rsidRPr="005155AA">
              <w:rPr>
                <w:rFonts w:ascii="Arial" w:eastAsia="Times New Roman" w:hAnsi="Arial" w:cs="Arial"/>
                <w:color w:val="000000"/>
                <w:sz w:val="18"/>
                <w:szCs w:val="18"/>
                <w:lang w:eastAsia="nl-BE"/>
              </w:rPr>
              <w:t xml:space="preserve">uiting bevat tussen de balans en RR en tussen de rapporteringen. </w:t>
            </w:r>
            <w:r w:rsidR="00373983" w:rsidRPr="005155AA">
              <w:rPr>
                <w:rFonts w:ascii="Arial" w:eastAsia="Times New Roman" w:hAnsi="Arial" w:cs="Arial"/>
                <w:color w:val="000000"/>
                <w:sz w:val="18"/>
                <w:szCs w:val="18"/>
                <w:lang w:eastAsia="nl-BE"/>
              </w:rPr>
              <w:t xml:space="preserve">– </w:t>
            </w:r>
          </w:p>
        </w:tc>
        <w:tc>
          <w:tcPr>
            <w:tcW w:w="1564" w:type="dxa"/>
            <w:tcBorders>
              <w:top w:val="nil"/>
              <w:left w:val="nil"/>
              <w:bottom w:val="single" w:sz="4" w:space="0" w:color="auto"/>
              <w:right w:val="single" w:sz="4" w:space="0" w:color="auto"/>
            </w:tcBorders>
            <w:shd w:val="clear" w:color="000000" w:fill="F2F2F2"/>
            <w:noWrap/>
            <w:vAlign w:val="center"/>
            <w:hideMark/>
          </w:tcPr>
          <w:p w14:paraId="523B7B67" w14:textId="4363054B" w:rsidR="00596805" w:rsidRPr="005155AA" w:rsidRDefault="00596805" w:rsidP="00596805">
            <w:pPr>
              <w:spacing w:after="0" w:line="240" w:lineRule="auto"/>
              <w:jc w:val="center"/>
              <w:rPr>
                <w:rFonts w:ascii="Arial" w:eastAsia="Times New Roman" w:hAnsi="Arial" w:cs="Arial"/>
                <w:color w:val="000000"/>
                <w:sz w:val="18"/>
                <w:szCs w:val="18"/>
                <w:lang w:eastAsia="nl-BE"/>
              </w:rPr>
            </w:pPr>
            <w:r w:rsidRPr="005155AA">
              <w:rPr>
                <w:rFonts w:ascii="Arial" w:eastAsia="Times New Roman" w:hAnsi="Arial" w:cs="Arial"/>
                <w:color w:val="000000"/>
                <w:sz w:val="18"/>
                <w:szCs w:val="18"/>
                <w:lang w:eastAsia="nl-BE"/>
              </w:rPr>
              <w:t>artikel 42</w:t>
            </w:r>
            <w:r w:rsidR="00731162">
              <w:rPr>
                <w:rFonts w:ascii="Arial" w:eastAsia="Times New Roman" w:hAnsi="Arial" w:cs="Arial"/>
                <w:color w:val="000000"/>
                <w:sz w:val="18"/>
                <w:szCs w:val="18"/>
                <w:lang w:eastAsia="nl-BE"/>
              </w:rPr>
              <w:t>,</w:t>
            </w:r>
            <w:r w:rsidRPr="005155AA">
              <w:rPr>
                <w:rFonts w:ascii="Arial" w:eastAsia="Times New Roman" w:hAnsi="Arial" w:cs="Arial"/>
                <w:color w:val="000000"/>
                <w:sz w:val="18"/>
                <w:szCs w:val="18"/>
                <w:lang w:eastAsia="nl-BE"/>
              </w:rPr>
              <w:t xml:space="preserve"> §</w:t>
            </w:r>
            <w:r w:rsidR="00731162">
              <w:rPr>
                <w:rFonts w:ascii="Arial" w:eastAsia="Times New Roman" w:hAnsi="Arial" w:cs="Arial"/>
                <w:color w:val="000000"/>
                <w:sz w:val="18"/>
                <w:szCs w:val="18"/>
                <w:lang w:eastAsia="nl-BE"/>
              </w:rPr>
              <w:t xml:space="preserve"> </w:t>
            </w:r>
            <w:r w:rsidRPr="005155AA">
              <w:rPr>
                <w:rFonts w:ascii="Arial" w:eastAsia="Times New Roman" w:hAnsi="Arial" w:cs="Arial"/>
                <w:color w:val="000000"/>
                <w:sz w:val="18"/>
                <w:szCs w:val="18"/>
                <w:lang w:eastAsia="nl-BE"/>
              </w:rPr>
              <w:t>1 VCO</w:t>
            </w:r>
          </w:p>
        </w:tc>
        <w:tc>
          <w:tcPr>
            <w:tcW w:w="1631" w:type="dxa"/>
            <w:tcBorders>
              <w:top w:val="nil"/>
              <w:left w:val="nil"/>
              <w:bottom w:val="single" w:sz="4" w:space="0" w:color="auto"/>
              <w:right w:val="single" w:sz="4" w:space="0" w:color="auto"/>
            </w:tcBorders>
            <w:shd w:val="clear" w:color="000000" w:fill="F2F2F2"/>
            <w:noWrap/>
            <w:vAlign w:val="bottom"/>
            <w:hideMark/>
          </w:tcPr>
          <w:p w14:paraId="4EF9F6E8" w14:textId="77777777" w:rsidR="00596805" w:rsidRPr="005155AA" w:rsidRDefault="00596805" w:rsidP="00596805">
            <w:pPr>
              <w:spacing w:after="0" w:line="240" w:lineRule="auto"/>
              <w:rPr>
                <w:rFonts w:ascii="Arial" w:eastAsia="Times New Roman" w:hAnsi="Arial" w:cs="Arial"/>
                <w:color w:val="000000"/>
                <w:sz w:val="18"/>
                <w:szCs w:val="18"/>
                <w:lang w:eastAsia="nl-BE"/>
              </w:rPr>
            </w:pPr>
            <w:r w:rsidRPr="005155AA">
              <w:rPr>
                <w:rFonts w:ascii="Arial" w:eastAsia="Times New Roman" w:hAnsi="Arial" w:cs="Arial"/>
                <w:color w:val="000000"/>
                <w:sz w:val="18"/>
                <w:szCs w:val="18"/>
                <w:lang w:eastAsia="nl-BE"/>
              </w:rPr>
              <w:t> </w:t>
            </w:r>
          </w:p>
        </w:tc>
      </w:tr>
      <w:tr w:rsidR="00596805" w:rsidRPr="00F01797" w14:paraId="66C663E9" w14:textId="77777777" w:rsidTr="000D1534">
        <w:trPr>
          <w:trHeight w:val="1275"/>
        </w:trPr>
        <w:tc>
          <w:tcPr>
            <w:tcW w:w="2375"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26ABC0AA" w14:textId="77777777" w:rsidR="00596805" w:rsidRPr="005155AA" w:rsidRDefault="00596805" w:rsidP="00596805">
            <w:pPr>
              <w:spacing w:after="0" w:line="240" w:lineRule="auto"/>
              <w:jc w:val="center"/>
              <w:rPr>
                <w:rFonts w:ascii="Arial" w:eastAsia="Times New Roman" w:hAnsi="Arial" w:cs="Arial"/>
                <w:color w:val="000000"/>
                <w:sz w:val="18"/>
                <w:szCs w:val="18"/>
                <w:lang w:eastAsia="nl-BE"/>
              </w:rPr>
            </w:pPr>
            <w:r w:rsidRPr="005155AA">
              <w:rPr>
                <w:rFonts w:ascii="Arial" w:eastAsia="Times New Roman" w:hAnsi="Arial" w:cs="Arial"/>
                <w:color w:val="000000"/>
                <w:sz w:val="18"/>
                <w:szCs w:val="18"/>
                <w:lang w:eastAsia="nl-BE"/>
              </w:rPr>
              <w:t>Rapportering</w:t>
            </w:r>
          </w:p>
        </w:tc>
        <w:tc>
          <w:tcPr>
            <w:tcW w:w="3490" w:type="dxa"/>
            <w:tcBorders>
              <w:top w:val="nil"/>
              <w:left w:val="nil"/>
              <w:bottom w:val="single" w:sz="4" w:space="0" w:color="auto"/>
              <w:right w:val="single" w:sz="4" w:space="0" w:color="auto"/>
            </w:tcBorders>
            <w:shd w:val="clear" w:color="000000" w:fill="F2F2F2"/>
            <w:vAlign w:val="center"/>
            <w:hideMark/>
          </w:tcPr>
          <w:p w14:paraId="41918937" w14:textId="77777777" w:rsidR="002D2A65" w:rsidRDefault="002D2A65" w:rsidP="005155AA">
            <w:pPr>
              <w:spacing w:after="0" w:line="240" w:lineRule="auto"/>
              <w:jc w:val="both"/>
              <w:rPr>
                <w:rFonts w:ascii="Arial" w:eastAsia="Times New Roman" w:hAnsi="Arial" w:cs="Arial"/>
                <w:color w:val="000000"/>
                <w:sz w:val="18"/>
                <w:szCs w:val="18"/>
                <w:lang w:eastAsia="nl-BE"/>
              </w:rPr>
            </w:pPr>
          </w:p>
          <w:p w14:paraId="61A54DA5" w14:textId="1ADA3E37" w:rsidR="00596805" w:rsidRPr="005155AA" w:rsidRDefault="00596805" w:rsidP="005155AA">
            <w:pPr>
              <w:spacing w:after="0" w:line="240" w:lineRule="auto"/>
              <w:jc w:val="both"/>
              <w:rPr>
                <w:rFonts w:ascii="Arial" w:eastAsia="Times New Roman" w:hAnsi="Arial" w:cs="Arial"/>
                <w:color w:val="000000"/>
                <w:sz w:val="18"/>
                <w:szCs w:val="18"/>
                <w:lang w:eastAsia="nl-BE"/>
              </w:rPr>
            </w:pPr>
            <w:r w:rsidRPr="005155AA">
              <w:rPr>
                <w:rFonts w:ascii="Arial" w:eastAsia="Times New Roman" w:hAnsi="Arial" w:cs="Arial"/>
                <w:color w:val="000000"/>
                <w:sz w:val="18"/>
                <w:szCs w:val="18"/>
                <w:lang w:eastAsia="nl-BE"/>
              </w:rPr>
              <w:t>De Vlaamse rechtspersonen bezorgen de beleids- en begrotingsinformatie conform de regels die de Vlaamse Regering bepaalt.</w:t>
            </w:r>
          </w:p>
          <w:p w14:paraId="426D38F1" w14:textId="5D3276A7" w:rsidR="00373983" w:rsidRDefault="00B736AD" w:rsidP="005155AA">
            <w:pPr>
              <w:spacing w:after="0" w:line="240" w:lineRule="auto"/>
              <w:jc w:val="both"/>
              <w:rPr>
                <w:rFonts w:ascii="Arial" w:eastAsia="Times New Roman" w:hAnsi="Arial" w:cs="Arial"/>
                <w:color w:val="000000"/>
                <w:sz w:val="18"/>
                <w:szCs w:val="18"/>
                <w:lang w:eastAsia="nl-BE"/>
              </w:rPr>
            </w:pPr>
            <w:r>
              <w:rPr>
                <w:rFonts w:ascii="Arial" w:eastAsia="Times New Roman" w:hAnsi="Arial" w:cs="Arial"/>
                <w:color w:val="000000"/>
                <w:sz w:val="18"/>
                <w:szCs w:val="18"/>
                <w:lang w:eastAsia="nl-BE"/>
              </w:rPr>
              <w:t xml:space="preserve">De bedrijfsrevisor voer een </w:t>
            </w:r>
            <w:r w:rsidR="00373983" w:rsidRPr="005155AA">
              <w:rPr>
                <w:rFonts w:ascii="Arial" w:eastAsia="Times New Roman" w:hAnsi="Arial" w:cs="Arial"/>
                <w:color w:val="000000"/>
                <w:sz w:val="18"/>
                <w:szCs w:val="18"/>
                <w:lang w:eastAsia="nl-BE"/>
              </w:rPr>
              <w:t>“consistentiecontrole”</w:t>
            </w:r>
            <w:r>
              <w:rPr>
                <w:rFonts w:ascii="Arial" w:eastAsia="Times New Roman" w:hAnsi="Arial" w:cs="Arial"/>
                <w:color w:val="000000"/>
                <w:sz w:val="18"/>
                <w:szCs w:val="18"/>
                <w:lang w:eastAsia="nl-BE"/>
              </w:rPr>
              <w:t xml:space="preserve"> uit teneinde na te gaan of de gegevens opgenomen in dit verlag overeenstemmen met de gegevens bekend in het kader van de audit.  </w:t>
            </w:r>
            <w:r w:rsidR="00373983" w:rsidRPr="005155AA">
              <w:rPr>
                <w:rFonts w:ascii="Arial" w:eastAsia="Times New Roman" w:hAnsi="Arial" w:cs="Arial"/>
                <w:color w:val="000000"/>
                <w:sz w:val="18"/>
                <w:szCs w:val="18"/>
                <w:lang w:eastAsia="nl-BE"/>
              </w:rPr>
              <w:t xml:space="preserve"> </w:t>
            </w:r>
            <w:r>
              <w:rPr>
                <w:rFonts w:ascii="Arial" w:eastAsia="Times New Roman" w:hAnsi="Arial" w:cs="Arial"/>
                <w:color w:val="000000"/>
                <w:sz w:val="18"/>
                <w:szCs w:val="18"/>
                <w:lang w:eastAsia="nl-BE"/>
              </w:rPr>
              <w:t>(doelstelling: vanaf YEC 2021 zal van de bedrijfsrevisor gevraagd worden een nazicht uit te voeren overeenkomstig ISA 720)</w:t>
            </w:r>
            <w:r w:rsidR="002D2A65">
              <w:rPr>
                <w:rFonts w:ascii="Arial" w:eastAsia="Times New Roman" w:hAnsi="Arial" w:cs="Arial"/>
                <w:color w:val="000000"/>
                <w:sz w:val="18"/>
                <w:szCs w:val="18"/>
                <w:lang w:eastAsia="nl-BE"/>
              </w:rPr>
              <w:t>.</w:t>
            </w:r>
          </w:p>
          <w:p w14:paraId="73FEC86F" w14:textId="77777777" w:rsidR="00217BE6" w:rsidRDefault="00217BE6" w:rsidP="005155AA">
            <w:pPr>
              <w:spacing w:after="0" w:line="240" w:lineRule="auto"/>
              <w:jc w:val="both"/>
              <w:rPr>
                <w:rFonts w:ascii="Arial" w:eastAsia="Times New Roman" w:hAnsi="Arial" w:cs="Arial"/>
                <w:color w:val="000000"/>
                <w:sz w:val="18"/>
                <w:szCs w:val="18"/>
                <w:lang w:eastAsia="nl-BE"/>
              </w:rPr>
            </w:pPr>
          </w:p>
          <w:p w14:paraId="260B013E" w14:textId="36B7C0D3" w:rsidR="002D2A65" w:rsidRPr="005155AA" w:rsidRDefault="002D2A65" w:rsidP="005155AA">
            <w:pPr>
              <w:spacing w:after="0" w:line="240" w:lineRule="auto"/>
              <w:jc w:val="both"/>
              <w:rPr>
                <w:rFonts w:ascii="Arial" w:eastAsia="Times New Roman" w:hAnsi="Arial" w:cs="Arial"/>
                <w:color w:val="000000"/>
                <w:sz w:val="18"/>
                <w:szCs w:val="18"/>
                <w:lang w:eastAsia="nl-BE"/>
              </w:rPr>
            </w:pPr>
          </w:p>
        </w:tc>
        <w:tc>
          <w:tcPr>
            <w:tcW w:w="1564" w:type="dxa"/>
            <w:tcBorders>
              <w:top w:val="nil"/>
              <w:left w:val="nil"/>
              <w:bottom w:val="single" w:sz="4" w:space="0" w:color="auto"/>
              <w:right w:val="single" w:sz="4" w:space="0" w:color="auto"/>
            </w:tcBorders>
            <w:shd w:val="clear" w:color="000000" w:fill="F2F2F2"/>
            <w:noWrap/>
            <w:vAlign w:val="center"/>
            <w:hideMark/>
          </w:tcPr>
          <w:p w14:paraId="0F3B65F1" w14:textId="41C1E729" w:rsidR="00596805" w:rsidRPr="005155AA" w:rsidRDefault="00596805" w:rsidP="00596805">
            <w:pPr>
              <w:spacing w:after="0" w:line="240" w:lineRule="auto"/>
              <w:jc w:val="center"/>
              <w:rPr>
                <w:rFonts w:ascii="Arial" w:eastAsia="Times New Roman" w:hAnsi="Arial" w:cs="Arial"/>
                <w:color w:val="000000"/>
                <w:sz w:val="18"/>
                <w:szCs w:val="18"/>
                <w:lang w:eastAsia="nl-BE"/>
              </w:rPr>
            </w:pPr>
            <w:r w:rsidRPr="005155AA">
              <w:rPr>
                <w:rFonts w:ascii="Arial" w:eastAsia="Times New Roman" w:hAnsi="Arial" w:cs="Arial"/>
                <w:color w:val="000000"/>
                <w:sz w:val="18"/>
                <w:szCs w:val="18"/>
                <w:lang w:eastAsia="nl-BE"/>
              </w:rPr>
              <w:t>artikel 42</w:t>
            </w:r>
            <w:r w:rsidR="00731162">
              <w:rPr>
                <w:rFonts w:ascii="Arial" w:eastAsia="Times New Roman" w:hAnsi="Arial" w:cs="Arial"/>
                <w:color w:val="000000"/>
                <w:sz w:val="18"/>
                <w:szCs w:val="18"/>
                <w:lang w:eastAsia="nl-BE"/>
              </w:rPr>
              <w:t>,</w:t>
            </w:r>
            <w:r w:rsidRPr="005155AA">
              <w:rPr>
                <w:rFonts w:ascii="Arial" w:eastAsia="Times New Roman" w:hAnsi="Arial" w:cs="Arial"/>
                <w:color w:val="000000"/>
                <w:sz w:val="18"/>
                <w:szCs w:val="18"/>
                <w:lang w:eastAsia="nl-BE"/>
              </w:rPr>
              <w:t xml:space="preserve"> §</w:t>
            </w:r>
            <w:r w:rsidR="00731162">
              <w:rPr>
                <w:rFonts w:ascii="Arial" w:eastAsia="Times New Roman" w:hAnsi="Arial" w:cs="Arial"/>
                <w:color w:val="000000"/>
                <w:sz w:val="18"/>
                <w:szCs w:val="18"/>
                <w:lang w:eastAsia="nl-BE"/>
              </w:rPr>
              <w:t xml:space="preserve"> </w:t>
            </w:r>
            <w:r w:rsidRPr="005155AA">
              <w:rPr>
                <w:rFonts w:ascii="Arial" w:eastAsia="Times New Roman" w:hAnsi="Arial" w:cs="Arial"/>
                <w:color w:val="000000"/>
                <w:sz w:val="18"/>
                <w:szCs w:val="18"/>
                <w:lang w:eastAsia="nl-BE"/>
              </w:rPr>
              <w:t>3 VCO</w:t>
            </w:r>
          </w:p>
        </w:tc>
        <w:tc>
          <w:tcPr>
            <w:tcW w:w="1631" w:type="dxa"/>
            <w:tcBorders>
              <w:top w:val="nil"/>
              <w:left w:val="nil"/>
              <w:bottom w:val="single" w:sz="4" w:space="0" w:color="auto"/>
              <w:right w:val="single" w:sz="4" w:space="0" w:color="auto"/>
            </w:tcBorders>
            <w:shd w:val="clear" w:color="000000" w:fill="F2F2F2"/>
            <w:noWrap/>
            <w:vAlign w:val="bottom"/>
            <w:hideMark/>
          </w:tcPr>
          <w:p w14:paraId="74C28DCA" w14:textId="77777777" w:rsidR="00596805" w:rsidRPr="005155AA" w:rsidRDefault="00596805" w:rsidP="00596805">
            <w:pPr>
              <w:spacing w:after="0" w:line="240" w:lineRule="auto"/>
              <w:rPr>
                <w:rFonts w:ascii="Arial" w:eastAsia="Times New Roman" w:hAnsi="Arial" w:cs="Arial"/>
                <w:color w:val="000000"/>
                <w:sz w:val="18"/>
                <w:szCs w:val="18"/>
                <w:lang w:eastAsia="nl-BE"/>
              </w:rPr>
            </w:pPr>
            <w:r w:rsidRPr="005155AA">
              <w:rPr>
                <w:rFonts w:ascii="Arial" w:eastAsia="Times New Roman" w:hAnsi="Arial" w:cs="Arial"/>
                <w:color w:val="000000"/>
                <w:sz w:val="18"/>
                <w:szCs w:val="18"/>
                <w:lang w:eastAsia="nl-BE"/>
              </w:rPr>
              <w:t> </w:t>
            </w:r>
          </w:p>
        </w:tc>
      </w:tr>
      <w:tr w:rsidR="00596805" w:rsidRPr="00F01797" w14:paraId="40751A8C" w14:textId="77777777" w:rsidTr="000D1534">
        <w:trPr>
          <w:trHeight w:val="1320"/>
        </w:trPr>
        <w:tc>
          <w:tcPr>
            <w:tcW w:w="2375"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3F3C047" w14:textId="77777777" w:rsidR="00596805" w:rsidRPr="005155AA" w:rsidRDefault="00596805" w:rsidP="00596805">
            <w:pPr>
              <w:spacing w:after="0" w:line="240" w:lineRule="auto"/>
              <w:jc w:val="center"/>
              <w:rPr>
                <w:rFonts w:ascii="Arial" w:eastAsia="Times New Roman" w:hAnsi="Arial" w:cs="Arial"/>
                <w:color w:val="000000"/>
                <w:sz w:val="18"/>
                <w:szCs w:val="18"/>
                <w:lang w:eastAsia="nl-BE"/>
              </w:rPr>
            </w:pPr>
            <w:r w:rsidRPr="005155AA">
              <w:rPr>
                <w:rFonts w:ascii="Arial" w:eastAsia="Times New Roman" w:hAnsi="Arial" w:cs="Arial"/>
                <w:color w:val="000000"/>
                <w:sz w:val="18"/>
                <w:szCs w:val="18"/>
                <w:lang w:eastAsia="nl-BE"/>
              </w:rPr>
              <w:t>Rapportering</w:t>
            </w:r>
          </w:p>
        </w:tc>
        <w:tc>
          <w:tcPr>
            <w:tcW w:w="3490" w:type="dxa"/>
            <w:tcBorders>
              <w:top w:val="nil"/>
              <w:left w:val="nil"/>
              <w:bottom w:val="single" w:sz="4" w:space="0" w:color="auto"/>
              <w:right w:val="single" w:sz="4" w:space="0" w:color="auto"/>
            </w:tcBorders>
            <w:shd w:val="clear" w:color="000000" w:fill="F2F2F2"/>
            <w:vAlign w:val="center"/>
            <w:hideMark/>
          </w:tcPr>
          <w:p w14:paraId="19244D72" w14:textId="741F744D" w:rsidR="00596805" w:rsidRPr="005155AA" w:rsidRDefault="00596805" w:rsidP="005155AA">
            <w:pPr>
              <w:spacing w:after="0" w:line="240" w:lineRule="auto"/>
              <w:jc w:val="both"/>
              <w:rPr>
                <w:rFonts w:ascii="Arial" w:eastAsia="Times New Roman" w:hAnsi="Arial" w:cs="Arial"/>
                <w:color w:val="000000"/>
                <w:sz w:val="18"/>
                <w:szCs w:val="18"/>
                <w:lang w:eastAsia="nl-BE"/>
              </w:rPr>
            </w:pPr>
            <w:r w:rsidRPr="005155AA">
              <w:rPr>
                <w:rFonts w:ascii="Arial" w:eastAsia="Times New Roman" w:hAnsi="Arial" w:cs="Arial"/>
                <w:color w:val="000000"/>
                <w:sz w:val="18"/>
                <w:szCs w:val="18"/>
                <w:lang w:eastAsia="nl-BE"/>
              </w:rPr>
              <w:t>De entiteiten bezorgen hun rekening aan de bevoegde instantie</w:t>
            </w:r>
            <w:r w:rsidR="00B736AD">
              <w:rPr>
                <w:rFonts w:ascii="Arial" w:eastAsia="Times New Roman" w:hAnsi="Arial" w:cs="Arial"/>
                <w:color w:val="000000"/>
                <w:sz w:val="18"/>
                <w:szCs w:val="18"/>
                <w:lang w:eastAsia="nl-BE"/>
              </w:rPr>
              <w:t>.</w:t>
            </w:r>
          </w:p>
        </w:tc>
        <w:tc>
          <w:tcPr>
            <w:tcW w:w="1564" w:type="dxa"/>
            <w:tcBorders>
              <w:top w:val="nil"/>
              <w:left w:val="nil"/>
              <w:bottom w:val="single" w:sz="4" w:space="0" w:color="auto"/>
              <w:right w:val="single" w:sz="4" w:space="0" w:color="auto"/>
            </w:tcBorders>
            <w:shd w:val="clear" w:color="000000" w:fill="F2F2F2"/>
            <w:noWrap/>
            <w:vAlign w:val="center"/>
            <w:hideMark/>
          </w:tcPr>
          <w:p w14:paraId="20BBC63D" w14:textId="77777777" w:rsidR="00596805" w:rsidRPr="005155AA" w:rsidRDefault="00596805" w:rsidP="00596805">
            <w:pPr>
              <w:spacing w:after="0" w:line="240" w:lineRule="auto"/>
              <w:jc w:val="center"/>
              <w:rPr>
                <w:rFonts w:ascii="Arial" w:eastAsia="Times New Roman" w:hAnsi="Arial" w:cs="Arial"/>
                <w:color w:val="000000"/>
                <w:sz w:val="18"/>
                <w:szCs w:val="18"/>
                <w:lang w:eastAsia="nl-BE"/>
              </w:rPr>
            </w:pPr>
            <w:r w:rsidRPr="005155AA">
              <w:rPr>
                <w:rFonts w:ascii="Arial" w:eastAsia="Times New Roman" w:hAnsi="Arial" w:cs="Arial"/>
                <w:color w:val="000000"/>
                <w:sz w:val="18"/>
                <w:szCs w:val="18"/>
                <w:lang w:eastAsia="nl-BE"/>
              </w:rPr>
              <w:t>artikel 43 VCO</w:t>
            </w:r>
          </w:p>
        </w:tc>
        <w:tc>
          <w:tcPr>
            <w:tcW w:w="1631" w:type="dxa"/>
            <w:tcBorders>
              <w:top w:val="nil"/>
              <w:left w:val="nil"/>
              <w:bottom w:val="single" w:sz="4" w:space="0" w:color="auto"/>
              <w:right w:val="single" w:sz="4" w:space="0" w:color="auto"/>
            </w:tcBorders>
            <w:shd w:val="clear" w:color="000000" w:fill="F2F2F2"/>
            <w:noWrap/>
            <w:vAlign w:val="bottom"/>
            <w:hideMark/>
          </w:tcPr>
          <w:p w14:paraId="5EB0D1FF" w14:textId="77777777" w:rsidR="00596805" w:rsidRPr="005155AA" w:rsidRDefault="00596805" w:rsidP="00596805">
            <w:pPr>
              <w:spacing w:after="0" w:line="240" w:lineRule="auto"/>
              <w:rPr>
                <w:rFonts w:ascii="Arial" w:eastAsia="Times New Roman" w:hAnsi="Arial" w:cs="Arial"/>
                <w:color w:val="000000"/>
                <w:sz w:val="18"/>
                <w:szCs w:val="18"/>
                <w:lang w:eastAsia="nl-BE"/>
              </w:rPr>
            </w:pPr>
            <w:r w:rsidRPr="005155AA">
              <w:rPr>
                <w:rFonts w:ascii="Arial" w:eastAsia="Times New Roman" w:hAnsi="Arial" w:cs="Arial"/>
                <w:color w:val="000000"/>
                <w:sz w:val="18"/>
                <w:szCs w:val="18"/>
                <w:lang w:eastAsia="nl-BE"/>
              </w:rPr>
              <w:t> </w:t>
            </w:r>
          </w:p>
        </w:tc>
      </w:tr>
      <w:tr w:rsidR="008A54BA" w:rsidRPr="00F01797" w14:paraId="2833E430" w14:textId="77777777" w:rsidTr="000D1534">
        <w:trPr>
          <w:trHeight w:val="1320"/>
        </w:trPr>
        <w:tc>
          <w:tcPr>
            <w:tcW w:w="2375"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16AC9C05" w14:textId="1C995059" w:rsidR="008A54BA" w:rsidRPr="008A54BA" w:rsidRDefault="008A0314" w:rsidP="00596805">
            <w:pPr>
              <w:spacing w:after="0" w:line="240" w:lineRule="auto"/>
              <w:jc w:val="center"/>
              <w:rPr>
                <w:rFonts w:ascii="Arial" w:eastAsia="Times New Roman" w:hAnsi="Arial" w:cs="Arial"/>
                <w:color w:val="000000"/>
                <w:sz w:val="18"/>
                <w:szCs w:val="18"/>
                <w:lang w:eastAsia="nl-BE"/>
              </w:rPr>
            </w:pPr>
            <w:r>
              <w:rPr>
                <w:rFonts w:ascii="Arial" w:eastAsia="Times New Roman" w:hAnsi="Arial" w:cs="Arial"/>
                <w:color w:val="000000"/>
                <w:sz w:val="18"/>
                <w:szCs w:val="18"/>
                <w:lang w:eastAsia="nl-BE"/>
              </w:rPr>
              <w:lastRenderedPageBreak/>
              <w:t xml:space="preserve">Rapportering </w:t>
            </w:r>
          </w:p>
        </w:tc>
        <w:tc>
          <w:tcPr>
            <w:tcW w:w="3490" w:type="dxa"/>
            <w:tcBorders>
              <w:top w:val="nil"/>
              <w:left w:val="nil"/>
              <w:bottom w:val="single" w:sz="4" w:space="0" w:color="auto"/>
              <w:right w:val="single" w:sz="4" w:space="0" w:color="auto"/>
            </w:tcBorders>
            <w:shd w:val="clear" w:color="000000" w:fill="F2F2F2"/>
            <w:vAlign w:val="center"/>
          </w:tcPr>
          <w:p w14:paraId="51F36926" w14:textId="77777777" w:rsidR="002D2A65" w:rsidRDefault="002D2A65" w:rsidP="009F283F">
            <w:pPr>
              <w:spacing w:after="0" w:line="240" w:lineRule="auto"/>
              <w:jc w:val="both"/>
              <w:rPr>
                <w:rFonts w:ascii="Arial" w:eastAsia="Times New Roman" w:hAnsi="Arial" w:cs="Arial"/>
                <w:color w:val="000000"/>
                <w:sz w:val="18"/>
                <w:szCs w:val="18"/>
                <w:lang w:eastAsia="nl-BE"/>
              </w:rPr>
            </w:pPr>
          </w:p>
          <w:p w14:paraId="2DAF8524" w14:textId="732E4AAB" w:rsidR="00B8211B" w:rsidRDefault="008A0314" w:rsidP="009F283F">
            <w:pPr>
              <w:spacing w:after="0" w:line="240" w:lineRule="auto"/>
              <w:jc w:val="both"/>
              <w:rPr>
                <w:rFonts w:ascii="Arial" w:eastAsia="Times New Roman" w:hAnsi="Arial" w:cs="Arial"/>
                <w:color w:val="000000"/>
                <w:sz w:val="18"/>
                <w:szCs w:val="18"/>
                <w:lang w:eastAsia="nl-BE"/>
              </w:rPr>
            </w:pPr>
            <w:r w:rsidRPr="005155AA">
              <w:rPr>
                <w:rFonts w:ascii="Arial" w:eastAsia="Times New Roman" w:hAnsi="Arial" w:cs="Arial"/>
                <w:color w:val="000000"/>
                <w:sz w:val="18"/>
                <w:szCs w:val="18"/>
                <w:lang w:eastAsia="nl-BE"/>
              </w:rPr>
              <w:t>De Vlaamse regering kan tussentijdse ESR-rapporteringen opleggen aan de entiteiten. Deze ESR-rapporten vormen basis voor monitoring.</w:t>
            </w:r>
            <w:r w:rsidR="00B8211B">
              <w:rPr>
                <w:rFonts w:ascii="Arial" w:eastAsia="Times New Roman" w:hAnsi="Arial" w:cs="Arial"/>
                <w:color w:val="000000"/>
                <w:sz w:val="18"/>
                <w:szCs w:val="18"/>
                <w:lang w:eastAsia="nl-BE"/>
              </w:rPr>
              <w:t xml:space="preserve"> </w:t>
            </w:r>
          </w:p>
          <w:p w14:paraId="51140970" w14:textId="77777777" w:rsidR="00B8211B" w:rsidRDefault="00B8211B" w:rsidP="009F283F">
            <w:pPr>
              <w:spacing w:after="0" w:line="240" w:lineRule="auto"/>
              <w:jc w:val="both"/>
              <w:rPr>
                <w:rFonts w:ascii="Arial" w:eastAsia="Times New Roman" w:hAnsi="Arial" w:cs="Arial"/>
                <w:color w:val="000000"/>
                <w:sz w:val="18"/>
                <w:szCs w:val="18"/>
                <w:lang w:eastAsia="nl-BE"/>
              </w:rPr>
            </w:pPr>
          </w:p>
          <w:p w14:paraId="13C20BA7" w14:textId="77777777" w:rsidR="008A54BA" w:rsidRDefault="00B8211B" w:rsidP="00B8211B">
            <w:pPr>
              <w:spacing w:after="0" w:line="240" w:lineRule="auto"/>
              <w:jc w:val="both"/>
              <w:rPr>
                <w:rFonts w:ascii="Arial" w:eastAsia="Times New Roman" w:hAnsi="Arial" w:cs="Arial"/>
                <w:color w:val="000000"/>
                <w:sz w:val="18"/>
                <w:szCs w:val="18"/>
                <w:lang w:eastAsia="nl-BE"/>
              </w:rPr>
            </w:pPr>
            <w:r>
              <w:rPr>
                <w:rFonts w:ascii="Arial" w:eastAsia="Times New Roman" w:hAnsi="Arial" w:cs="Arial"/>
                <w:color w:val="000000"/>
                <w:sz w:val="18"/>
                <w:szCs w:val="18"/>
                <w:lang w:eastAsia="nl-BE"/>
              </w:rPr>
              <w:t xml:space="preserve">Belangrijke verschillen tussen opeenvolgende rapporteringen moeten worden verantwoord. </w:t>
            </w:r>
          </w:p>
          <w:p w14:paraId="76EA2E0D" w14:textId="0215A75B" w:rsidR="002D2A65" w:rsidRPr="008A0314" w:rsidRDefault="002D2A65" w:rsidP="00B8211B">
            <w:pPr>
              <w:spacing w:after="0" w:line="240" w:lineRule="auto"/>
              <w:jc w:val="both"/>
              <w:rPr>
                <w:rFonts w:ascii="Arial" w:eastAsia="Times New Roman" w:hAnsi="Arial" w:cs="Arial"/>
                <w:color w:val="000000"/>
                <w:sz w:val="18"/>
                <w:szCs w:val="18"/>
                <w:lang w:eastAsia="nl-BE"/>
              </w:rPr>
            </w:pPr>
          </w:p>
        </w:tc>
        <w:tc>
          <w:tcPr>
            <w:tcW w:w="1564" w:type="dxa"/>
            <w:tcBorders>
              <w:top w:val="nil"/>
              <w:left w:val="nil"/>
              <w:bottom w:val="single" w:sz="4" w:space="0" w:color="auto"/>
              <w:right w:val="single" w:sz="4" w:space="0" w:color="auto"/>
            </w:tcBorders>
            <w:shd w:val="clear" w:color="000000" w:fill="F2F2F2"/>
            <w:noWrap/>
            <w:vAlign w:val="center"/>
          </w:tcPr>
          <w:p w14:paraId="10F5AF72" w14:textId="1969A539" w:rsidR="008A54BA" w:rsidRPr="008A0314" w:rsidRDefault="00C44CB2" w:rsidP="00596805">
            <w:pPr>
              <w:spacing w:after="0" w:line="240" w:lineRule="auto"/>
              <w:jc w:val="center"/>
              <w:rPr>
                <w:rFonts w:ascii="Arial" w:eastAsia="Times New Roman" w:hAnsi="Arial" w:cs="Arial"/>
                <w:color w:val="000000"/>
                <w:sz w:val="18"/>
                <w:szCs w:val="18"/>
                <w:lang w:eastAsia="nl-BE"/>
              </w:rPr>
            </w:pPr>
            <w:r>
              <w:rPr>
                <w:rFonts w:ascii="Arial" w:eastAsia="Times New Roman" w:hAnsi="Arial" w:cs="Arial"/>
                <w:color w:val="000000"/>
                <w:sz w:val="18"/>
                <w:szCs w:val="18"/>
                <w:lang w:eastAsia="nl-BE"/>
              </w:rPr>
              <w:t>a</w:t>
            </w:r>
            <w:r w:rsidR="008A0314">
              <w:rPr>
                <w:rFonts w:ascii="Arial" w:eastAsia="Times New Roman" w:hAnsi="Arial" w:cs="Arial"/>
                <w:color w:val="000000"/>
                <w:sz w:val="18"/>
                <w:szCs w:val="18"/>
                <w:lang w:eastAsia="nl-BE"/>
              </w:rPr>
              <w:t>rtikel 45 VCO</w:t>
            </w:r>
          </w:p>
        </w:tc>
        <w:tc>
          <w:tcPr>
            <w:tcW w:w="1631" w:type="dxa"/>
            <w:tcBorders>
              <w:top w:val="nil"/>
              <w:left w:val="nil"/>
              <w:bottom w:val="single" w:sz="4" w:space="0" w:color="auto"/>
              <w:right w:val="single" w:sz="4" w:space="0" w:color="auto"/>
            </w:tcBorders>
            <w:shd w:val="clear" w:color="000000" w:fill="F2F2F2"/>
            <w:noWrap/>
            <w:vAlign w:val="bottom"/>
          </w:tcPr>
          <w:p w14:paraId="3C5872AB" w14:textId="77777777" w:rsidR="008A54BA" w:rsidRPr="009F283F" w:rsidRDefault="008A54BA" w:rsidP="00596805">
            <w:pPr>
              <w:spacing w:after="0" w:line="240" w:lineRule="auto"/>
              <w:rPr>
                <w:rFonts w:ascii="Arial" w:eastAsia="Times New Roman" w:hAnsi="Arial" w:cs="Arial"/>
                <w:color w:val="000000"/>
                <w:sz w:val="18"/>
                <w:szCs w:val="18"/>
                <w:lang w:eastAsia="nl-BE"/>
              </w:rPr>
            </w:pPr>
          </w:p>
        </w:tc>
      </w:tr>
      <w:tr w:rsidR="00596805" w:rsidRPr="00F01797" w14:paraId="71B99EA5" w14:textId="77777777" w:rsidTr="000D1534">
        <w:trPr>
          <w:trHeight w:val="1485"/>
        </w:trPr>
        <w:tc>
          <w:tcPr>
            <w:tcW w:w="2375"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78850D0" w14:textId="77777777" w:rsidR="00596805" w:rsidRPr="005155AA" w:rsidRDefault="00596805" w:rsidP="00596805">
            <w:pPr>
              <w:spacing w:after="0" w:line="240" w:lineRule="auto"/>
              <w:jc w:val="center"/>
              <w:rPr>
                <w:rFonts w:ascii="Arial" w:eastAsia="Times New Roman" w:hAnsi="Arial" w:cs="Arial"/>
                <w:color w:val="000000"/>
                <w:sz w:val="18"/>
                <w:szCs w:val="18"/>
                <w:lang w:eastAsia="nl-BE"/>
              </w:rPr>
            </w:pPr>
            <w:r w:rsidRPr="005155AA">
              <w:rPr>
                <w:rFonts w:ascii="Arial" w:eastAsia="Times New Roman" w:hAnsi="Arial" w:cs="Arial"/>
                <w:color w:val="000000"/>
                <w:sz w:val="18"/>
                <w:szCs w:val="18"/>
                <w:lang w:eastAsia="nl-BE"/>
              </w:rPr>
              <w:t>Rapportering</w:t>
            </w:r>
          </w:p>
        </w:tc>
        <w:tc>
          <w:tcPr>
            <w:tcW w:w="3490" w:type="dxa"/>
            <w:tcBorders>
              <w:top w:val="nil"/>
              <w:left w:val="nil"/>
              <w:bottom w:val="single" w:sz="4" w:space="0" w:color="auto"/>
              <w:right w:val="single" w:sz="4" w:space="0" w:color="auto"/>
            </w:tcBorders>
            <w:shd w:val="clear" w:color="000000" w:fill="F2F2F2"/>
            <w:vAlign w:val="center"/>
            <w:hideMark/>
          </w:tcPr>
          <w:p w14:paraId="1516D97A" w14:textId="77777777" w:rsidR="001F7FF9" w:rsidRDefault="001F7FF9" w:rsidP="005155AA">
            <w:pPr>
              <w:spacing w:after="0" w:line="240" w:lineRule="auto"/>
              <w:jc w:val="both"/>
              <w:rPr>
                <w:rFonts w:ascii="Arial" w:eastAsia="Times New Roman" w:hAnsi="Arial" w:cs="Arial"/>
                <w:color w:val="000000"/>
                <w:sz w:val="18"/>
                <w:szCs w:val="18"/>
                <w:lang w:eastAsia="nl-BE"/>
              </w:rPr>
            </w:pPr>
          </w:p>
          <w:p w14:paraId="62AE9576" w14:textId="122F895A" w:rsidR="001F7FF9" w:rsidRDefault="001F7FF9" w:rsidP="005155AA">
            <w:pPr>
              <w:spacing w:after="0" w:line="240" w:lineRule="auto"/>
              <w:jc w:val="both"/>
              <w:rPr>
                <w:rFonts w:ascii="Arial" w:eastAsia="Times New Roman" w:hAnsi="Arial" w:cs="Arial"/>
                <w:color w:val="000000"/>
                <w:sz w:val="18"/>
                <w:szCs w:val="18"/>
                <w:lang w:eastAsia="nl-BE"/>
              </w:rPr>
            </w:pPr>
            <w:r w:rsidRPr="001F7FF9">
              <w:rPr>
                <w:rFonts w:ascii="Arial" w:eastAsia="Times New Roman" w:hAnsi="Arial" w:cs="Arial"/>
                <w:color w:val="000000"/>
                <w:sz w:val="18"/>
                <w:szCs w:val="18"/>
                <w:lang w:eastAsia="nl-BE"/>
              </w:rPr>
              <w:t xml:space="preserve">De Vlaamse </w:t>
            </w:r>
            <w:r>
              <w:rPr>
                <w:rFonts w:ascii="Arial" w:eastAsia="Times New Roman" w:hAnsi="Arial" w:cs="Arial"/>
                <w:color w:val="000000"/>
                <w:sz w:val="18"/>
                <w:szCs w:val="18"/>
                <w:lang w:eastAsia="nl-BE"/>
              </w:rPr>
              <w:t>r</w:t>
            </w:r>
            <w:r w:rsidRPr="001F7FF9">
              <w:rPr>
                <w:rFonts w:ascii="Arial" w:eastAsia="Times New Roman" w:hAnsi="Arial" w:cs="Arial"/>
                <w:color w:val="000000"/>
                <w:sz w:val="18"/>
                <w:szCs w:val="18"/>
                <w:lang w:eastAsia="nl-BE"/>
              </w:rPr>
              <w:t>egering stelt de rekeningen op van de Vlaamse rechtspersonen die rechtstreeks onderworpen zijn aan haar gezag. Het Vlaams Parlement keurt de rekeningen goed.</w:t>
            </w:r>
          </w:p>
          <w:p w14:paraId="67346A28" w14:textId="77777777" w:rsidR="001F7FF9" w:rsidRDefault="001F7FF9" w:rsidP="005155AA">
            <w:pPr>
              <w:spacing w:after="0" w:line="240" w:lineRule="auto"/>
              <w:jc w:val="both"/>
              <w:rPr>
                <w:rFonts w:ascii="Arial" w:eastAsia="Times New Roman" w:hAnsi="Arial" w:cs="Arial"/>
                <w:color w:val="000000"/>
                <w:sz w:val="18"/>
                <w:szCs w:val="18"/>
                <w:lang w:eastAsia="nl-BE"/>
              </w:rPr>
            </w:pPr>
          </w:p>
          <w:p w14:paraId="30202D1A" w14:textId="584FB920" w:rsidR="00596805" w:rsidRDefault="00B8211B" w:rsidP="005155AA">
            <w:pPr>
              <w:spacing w:after="0" w:line="240" w:lineRule="auto"/>
              <w:jc w:val="both"/>
              <w:rPr>
                <w:rFonts w:ascii="Arial" w:eastAsia="Times New Roman" w:hAnsi="Arial" w:cs="Arial"/>
                <w:color w:val="000000"/>
                <w:sz w:val="18"/>
                <w:szCs w:val="18"/>
                <w:lang w:eastAsia="nl-BE"/>
              </w:rPr>
            </w:pPr>
            <w:r>
              <w:rPr>
                <w:rFonts w:ascii="Arial" w:eastAsia="Times New Roman" w:hAnsi="Arial" w:cs="Arial"/>
                <w:color w:val="000000"/>
                <w:sz w:val="18"/>
                <w:szCs w:val="18"/>
                <w:lang w:eastAsia="nl-BE"/>
              </w:rPr>
              <w:t>De rekeningen van de Vlaamse rechtspersonen die niet</w:t>
            </w:r>
            <w:r w:rsidR="009B4E3E">
              <w:rPr>
                <w:rFonts w:ascii="Arial" w:eastAsia="Times New Roman" w:hAnsi="Arial" w:cs="Arial"/>
                <w:color w:val="000000"/>
                <w:sz w:val="18"/>
                <w:szCs w:val="18"/>
                <w:lang w:eastAsia="nl-BE"/>
              </w:rPr>
              <w:t xml:space="preserve"> rechtstreeks on</w:t>
            </w:r>
            <w:r w:rsidR="000B7AE2">
              <w:rPr>
                <w:rFonts w:ascii="Arial" w:eastAsia="Times New Roman" w:hAnsi="Arial" w:cs="Arial"/>
                <w:color w:val="000000"/>
                <w:sz w:val="18"/>
                <w:szCs w:val="18"/>
                <w:lang w:eastAsia="nl-BE"/>
              </w:rPr>
              <w:t>der</w:t>
            </w:r>
            <w:r w:rsidR="009B4E3E">
              <w:rPr>
                <w:rFonts w:ascii="Arial" w:eastAsia="Times New Roman" w:hAnsi="Arial" w:cs="Arial"/>
                <w:color w:val="000000"/>
                <w:sz w:val="18"/>
                <w:szCs w:val="18"/>
                <w:lang w:eastAsia="nl-BE"/>
              </w:rPr>
              <w:t xml:space="preserve"> het gezag </w:t>
            </w:r>
            <w:r w:rsidR="000B7AE2">
              <w:rPr>
                <w:rFonts w:ascii="Arial" w:eastAsia="Times New Roman" w:hAnsi="Arial" w:cs="Arial"/>
                <w:color w:val="000000"/>
                <w:sz w:val="18"/>
                <w:szCs w:val="18"/>
                <w:lang w:eastAsia="nl-BE"/>
              </w:rPr>
              <w:t>van de Vlaamse Regering staan</w:t>
            </w:r>
            <w:r w:rsidR="001F7FF9">
              <w:rPr>
                <w:rFonts w:ascii="Arial" w:eastAsia="Times New Roman" w:hAnsi="Arial" w:cs="Arial"/>
                <w:color w:val="000000"/>
                <w:sz w:val="18"/>
                <w:szCs w:val="18"/>
                <w:lang w:eastAsia="nl-BE"/>
              </w:rPr>
              <w:t>,</w:t>
            </w:r>
            <w:r w:rsidR="000B7AE2">
              <w:rPr>
                <w:rFonts w:ascii="Arial" w:eastAsia="Times New Roman" w:hAnsi="Arial" w:cs="Arial"/>
                <w:color w:val="000000"/>
                <w:sz w:val="18"/>
                <w:szCs w:val="18"/>
                <w:lang w:eastAsia="nl-BE"/>
              </w:rPr>
              <w:t xml:space="preserve"> dienen </w:t>
            </w:r>
            <w:r w:rsidR="001F7FF9">
              <w:rPr>
                <w:rFonts w:ascii="Arial" w:eastAsia="Times New Roman" w:hAnsi="Arial" w:cs="Arial"/>
                <w:color w:val="000000"/>
                <w:sz w:val="18"/>
                <w:szCs w:val="18"/>
                <w:lang w:eastAsia="nl-BE"/>
              </w:rPr>
              <w:t xml:space="preserve">te </w:t>
            </w:r>
            <w:r w:rsidR="001F7FF9" w:rsidRPr="001F7FF9">
              <w:rPr>
                <w:rFonts w:ascii="Arial" w:eastAsia="Times New Roman" w:hAnsi="Arial" w:cs="Arial"/>
                <w:color w:val="000000"/>
                <w:sz w:val="18"/>
                <w:szCs w:val="18"/>
                <w:lang w:eastAsia="nl-BE"/>
              </w:rPr>
              <w:t xml:space="preserve">worden opgesteld door het beheersorgaan en ter kennisgeving </w:t>
            </w:r>
            <w:r w:rsidR="001F7FF9">
              <w:rPr>
                <w:rFonts w:ascii="Arial" w:eastAsia="Times New Roman" w:hAnsi="Arial" w:cs="Arial"/>
                <w:color w:val="000000"/>
                <w:sz w:val="18"/>
                <w:szCs w:val="18"/>
                <w:lang w:eastAsia="nl-BE"/>
              </w:rPr>
              <w:t xml:space="preserve">te worden </w:t>
            </w:r>
            <w:r w:rsidR="001F7FF9" w:rsidRPr="001F7FF9">
              <w:rPr>
                <w:rFonts w:ascii="Arial" w:eastAsia="Times New Roman" w:hAnsi="Arial" w:cs="Arial"/>
                <w:color w:val="000000"/>
                <w:sz w:val="18"/>
                <w:szCs w:val="18"/>
                <w:lang w:eastAsia="nl-BE"/>
              </w:rPr>
              <w:t>bezorgd aan de Vlaamse Regering en het Vlaams Parlement</w:t>
            </w:r>
            <w:r w:rsidR="000B7AE2">
              <w:rPr>
                <w:rFonts w:ascii="Arial" w:eastAsia="Times New Roman" w:hAnsi="Arial" w:cs="Arial"/>
                <w:color w:val="000000"/>
                <w:sz w:val="18"/>
                <w:szCs w:val="18"/>
                <w:lang w:eastAsia="nl-BE"/>
              </w:rPr>
              <w:t>.</w:t>
            </w:r>
          </w:p>
          <w:p w14:paraId="353F6C82" w14:textId="77777777" w:rsidR="00217BE6" w:rsidRDefault="00217BE6" w:rsidP="005155AA">
            <w:pPr>
              <w:spacing w:after="0" w:line="240" w:lineRule="auto"/>
              <w:jc w:val="both"/>
              <w:rPr>
                <w:rFonts w:ascii="Arial" w:eastAsia="Times New Roman" w:hAnsi="Arial" w:cs="Arial"/>
                <w:color w:val="000000"/>
                <w:sz w:val="18"/>
                <w:szCs w:val="18"/>
                <w:lang w:eastAsia="nl-BE"/>
              </w:rPr>
            </w:pPr>
          </w:p>
          <w:p w14:paraId="7391213D" w14:textId="5D6F1A15" w:rsidR="001F7FF9" w:rsidRPr="005155AA" w:rsidRDefault="001F7FF9" w:rsidP="005155AA">
            <w:pPr>
              <w:spacing w:after="0" w:line="240" w:lineRule="auto"/>
              <w:jc w:val="both"/>
              <w:rPr>
                <w:rFonts w:ascii="Arial" w:eastAsia="Times New Roman" w:hAnsi="Arial" w:cs="Arial"/>
                <w:color w:val="000000"/>
                <w:sz w:val="18"/>
                <w:szCs w:val="18"/>
                <w:lang w:eastAsia="nl-BE"/>
              </w:rPr>
            </w:pPr>
          </w:p>
        </w:tc>
        <w:tc>
          <w:tcPr>
            <w:tcW w:w="1564" w:type="dxa"/>
            <w:tcBorders>
              <w:top w:val="nil"/>
              <w:left w:val="nil"/>
              <w:bottom w:val="single" w:sz="4" w:space="0" w:color="auto"/>
              <w:right w:val="single" w:sz="4" w:space="0" w:color="auto"/>
            </w:tcBorders>
            <w:shd w:val="clear" w:color="000000" w:fill="F2F2F2"/>
            <w:noWrap/>
            <w:vAlign w:val="center"/>
            <w:hideMark/>
          </w:tcPr>
          <w:p w14:paraId="21B50DA9" w14:textId="77777777" w:rsidR="00596805" w:rsidRPr="005155AA" w:rsidRDefault="00596805" w:rsidP="00596805">
            <w:pPr>
              <w:spacing w:after="0" w:line="240" w:lineRule="auto"/>
              <w:jc w:val="center"/>
              <w:rPr>
                <w:rFonts w:ascii="Arial" w:eastAsia="Times New Roman" w:hAnsi="Arial" w:cs="Arial"/>
                <w:color w:val="000000"/>
                <w:sz w:val="18"/>
                <w:szCs w:val="18"/>
                <w:lang w:eastAsia="nl-BE"/>
              </w:rPr>
            </w:pPr>
            <w:r w:rsidRPr="005155AA">
              <w:rPr>
                <w:rFonts w:ascii="Arial" w:eastAsia="Times New Roman" w:hAnsi="Arial" w:cs="Arial"/>
                <w:color w:val="000000"/>
                <w:sz w:val="18"/>
                <w:szCs w:val="18"/>
                <w:lang w:eastAsia="nl-BE"/>
              </w:rPr>
              <w:t>artikel 48 VCO</w:t>
            </w:r>
          </w:p>
        </w:tc>
        <w:tc>
          <w:tcPr>
            <w:tcW w:w="1631" w:type="dxa"/>
            <w:tcBorders>
              <w:top w:val="nil"/>
              <w:left w:val="nil"/>
              <w:bottom w:val="single" w:sz="4" w:space="0" w:color="auto"/>
              <w:right w:val="single" w:sz="4" w:space="0" w:color="auto"/>
            </w:tcBorders>
            <w:shd w:val="clear" w:color="000000" w:fill="F2F2F2"/>
            <w:noWrap/>
            <w:vAlign w:val="bottom"/>
            <w:hideMark/>
          </w:tcPr>
          <w:p w14:paraId="39D9C078" w14:textId="77777777" w:rsidR="00596805" w:rsidRPr="005155AA" w:rsidRDefault="00596805" w:rsidP="00596805">
            <w:pPr>
              <w:spacing w:after="0" w:line="240" w:lineRule="auto"/>
              <w:rPr>
                <w:rFonts w:ascii="Arial" w:eastAsia="Times New Roman" w:hAnsi="Arial" w:cs="Arial"/>
                <w:color w:val="000000"/>
                <w:sz w:val="18"/>
                <w:szCs w:val="18"/>
                <w:lang w:eastAsia="nl-BE"/>
              </w:rPr>
            </w:pPr>
            <w:r w:rsidRPr="005155AA">
              <w:rPr>
                <w:rFonts w:ascii="Arial" w:eastAsia="Times New Roman" w:hAnsi="Arial" w:cs="Arial"/>
                <w:color w:val="000000"/>
                <w:sz w:val="18"/>
                <w:szCs w:val="18"/>
                <w:lang w:eastAsia="nl-BE"/>
              </w:rPr>
              <w:t> </w:t>
            </w:r>
          </w:p>
        </w:tc>
      </w:tr>
      <w:tr w:rsidR="00596805" w:rsidRPr="00F01797" w14:paraId="6B0FB05A" w14:textId="77777777" w:rsidTr="000D1534">
        <w:trPr>
          <w:trHeight w:val="1815"/>
        </w:trPr>
        <w:tc>
          <w:tcPr>
            <w:tcW w:w="2375"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79082516" w14:textId="77777777" w:rsidR="00596805" w:rsidRPr="005155AA" w:rsidRDefault="00596805" w:rsidP="00596805">
            <w:pPr>
              <w:spacing w:after="0" w:line="240" w:lineRule="auto"/>
              <w:jc w:val="center"/>
              <w:rPr>
                <w:rFonts w:ascii="Arial" w:eastAsia="Times New Roman" w:hAnsi="Arial" w:cs="Arial"/>
                <w:color w:val="000000"/>
                <w:sz w:val="18"/>
                <w:szCs w:val="18"/>
                <w:lang w:eastAsia="nl-BE"/>
              </w:rPr>
            </w:pPr>
            <w:r w:rsidRPr="005155AA">
              <w:rPr>
                <w:rFonts w:ascii="Arial" w:eastAsia="Times New Roman" w:hAnsi="Arial" w:cs="Arial"/>
                <w:color w:val="000000"/>
                <w:sz w:val="18"/>
                <w:szCs w:val="18"/>
                <w:lang w:eastAsia="nl-BE"/>
              </w:rPr>
              <w:t>Controle</w:t>
            </w:r>
          </w:p>
        </w:tc>
        <w:tc>
          <w:tcPr>
            <w:tcW w:w="3490" w:type="dxa"/>
            <w:tcBorders>
              <w:top w:val="nil"/>
              <w:left w:val="nil"/>
              <w:bottom w:val="single" w:sz="4" w:space="0" w:color="auto"/>
              <w:right w:val="single" w:sz="4" w:space="0" w:color="auto"/>
            </w:tcBorders>
            <w:shd w:val="clear" w:color="000000" w:fill="F2F2F2"/>
            <w:vAlign w:val="center"/>
            <w:hideMark/>
          </w:tcPr>
          <w:p w14:paraId="0DA2D4B0" w14:textId="77777777" w:rsidR="002D2A65" w:rsidRDefault="002D2A65">
            <w:pPr>
              <w:spacing w:after="0" w:line="240" w:lineRule="auto"/>
              <w:jc w:val="both"/>
              <w:rPr>
                <w:rFonts w:ascii="Arial" w:eastAsia="Times New Roman" w:hAnsi="Arial" w:cs="Arial"/>
                <w:color w:val="000000"/>
                <w:sz w:val="18"/>
                <w:szCs w:val="18"/>
                <w:lang w:eastAsia="nl-BE"/>
              </w:rPr>
            </w:pPr>
          </w:p>
          <w:p w14:paraId="5EA26BE2" w14:textId="1645C4FD" w:rsidR="000B7AE2" w:rsidRDefault="00596805">
            <w:pPr>
              <w:spacing w:after="0" w:line="240" w:lineRule="auto"/>
              <w:jc w:val="both"/>
              <w:rPr>
                <w:rFonts w:ascii="Arial" w:eastAsia="Times New Roman" w:hAnsi="Arial" w:cs="Arial"/>
                <w:color w:val="000000"/>
                <w:sz w:val="18"/>
                <w:szCs w:val="18"/>
                <w:lang w:eastAsia="nl-BE"/>
              </w:rPr>
            </w:pPr>
            <w:r w:rsidRPr="005155AA">
              <w:rPr>
                <w:rFonts w:ascii="Arial" w:eastAsia="Times New Roman" w:hAnsi="Arial" w:cs="Arial"/>
                <w:color w:val="000000"/>
                <w:sz w:val="18"/>
                <w:szCs w:val="18"/>
                <w:lang w:eastAsia="nl-BE"/>
              </w:rPr>
              <w:t>Als de jaarrekeningen van de Vlaamse rechtspersonen op basis van de toepasselijke wetgeving worden gecontroleerd en gecertificeerd door een commissaris die een bedrijfsrevisor is, controleert die bedrijfsrevisor de naleving van deze codex</w:t>
            </w:r>
            <w:r w:rsidR="000B7AE2">
              <w:rPr>
                <w:rFonts w:ascii="Arial" w:eastAsia="Times New Roman" w:hAnsi="Arial" w:cs="Arial"/>
                <w:color w:val="000000"/>
                <w:sz w:val="18"/>
                <w:szCs w:val="18"/>
                <w:lang w:eastAsia="nl-BE"/>
              </w:rPr>
              <w:t xml:space="preserve">, meer bepaald de in dit werkprogramma bedoelde bepalingen. </w:t>
            </w:r>
          </w:p>
          <w:p w14:paraId="72D6F001" w14:textId="77777777" w:rsidR="000B7AE2" w:rsidRDefault="000B7AE2">
            <w:pPr>
              <w:spacing w:after="0" w:line="240" w:lineRule="auto"/>
              <w:jc w:val="both"/>
              <w:rPr>
                <w:rFonts w:ascii="Arial" w:eastAsia="Times New Roman" w:hAnsi="Arial" w:cs="Arial"/>
                <w:color w:val="000000"/>
                <w:sz w:val="18"/>
                <w:szCs w:val="18"/>
                <w:lang w:eastAsia="nl-BE"/>
              </w:rPr>
            </w:pPr>
          </w:p>
          <w:p w14:paraId="44BEEF9B" w14:textId="3AC60EF2" w:rsidR="000B7AE2" w:rsidRDefault="000B7AE2">
            <w:pPr>
              <w:spacing w:after="0" w:line="240" w:lineRule="auto"/>
              <w:jc w:val="both"/>
              <w:rPr>
                <w:rFonts w:ascii="Arial" w:eastAsia="Times New Roman" w:hAnsi="Arial" w:cs="Arial"/>
                <w:color w:val="000000"/>
                <w:sz w:val="18"/>
                <w:szCs w:val="18"/>
                <w:lang w:eastAsia="nl-BE"/>
              </w:rPr>
            </w:pPr>
            <w:r>
              <w:rPr>
                <w:rFonts w:ascii="Arial" w:eastAsia="Times New Roman" w:hAnsi="Arial" w:cs="Arial"/>
                <w:color w:val="000000"/>
                <w:sz w:val="18"/>
                <w:szCs w:val="18"/>
                <w:lang w:eastAsia="nl-BE"/>
              </w:rPr>
              <w:t xml:space="preserve">De bedrijfsrevisor bezorgt zijn verslag aan de controleactoren die bij de entiteit betrokken zijn.  </w:t>
            </w:r>
          </w:p>
          <w:p w14:paraId="5B383DCB" w14:textId="77777777" w:rsidR="002D2A65" w:rsidRDefault="002D2A65">
            <w:pPr>
              <w:spacing w:after="0" w:line="240" w:lineRule="auto"/>
              <w:jc w:val="both"/>
              <w:rPr>
                <w:rFonts w:ascii="Arial" w:eastAsia="Times New Roman" w:hAnsi="Arial" w:cs="Arial"/>
                <w:color w:val="000000"/>
                <w:sz w:val="18"/>
                <w:szCs w:val="18"/>
                <w:lang w:eastAsia="nl-BE"/>
              </w:rPr>
            </w:pPr>
          </w:p>
          <w:p w14:paraId="4883B4A7" w14:textId="6C50A985" w:rsidR="00596805" w:rsidRPr="005155AA" w:rsidRDefault="00596805" w:rsidP="005155AA">
            <w:pPr>
              <w:spacing w:after="0" w:line="240" w:lineRule="auto"/>
              <w:jc w:val="both"/>
              <w:rPr>
                <w:rFonts w:ascii="Arial" w:eastAsia="Times New Roman" w:hAnsi="Arial" w:cs="Arial"/>
                <w:color w:val="000000"/>
                <w:sz w:val="18"/>
                <w:szCs w:val="18"/>
                <w:lang w:eastAsia="nl-BE"/>
              </w:rPr>
            </w:pPr>
          </w:p>
        </w:tc>
        <w:tc>
          <w:tcPr>
            <w:tcW w:w="1564" w:type="dxa"/>
            <w:tcBorders>
              <w:top w:val="nil"/>
              <w:left w:val="nil"/>
              <w:bottom w:val="single" w:sz="4" w:space="0" w:color="auto"/>
              <w:right w:val="single" w:sz="4" w:space="0" w:color="auto"/>
            </w:tcBorders>
            <w:shd w:val="clear" w:color="000000" w:fill="F2F2F2"/>
            <w:noWrap/>
            <w:vAlign w:val="center"/>
            <w:hideMark/>
          </w:tcPr>
          <w:p w14:paraId="1573B81B" w14:textId="77777777" w:rsidR="00596805" w:rsidRDefault="00596805" w:rsidP="00596805">
            <w:pPr>
              <w:spacing w:after="0" w:line="240" w:lineRule="auto"/>
              <w:jc w:val="center"/>
              <w:rPr>
                <w:rFonts w:ascii="Arial" w:eastAsia="Times New Roman" w:hAnsi="Arial" w:cs="Arial"/>
                <w:color w:val="000000"/>
                <w:sz w:val="18"/>
                <w:szCs w:val="18"/>
                <w:lang w:eastAsia="nl-BE"/>
              </w:rPr>
            </w:pPr>
            <w:r w:rsidRPr="005155AA">
              <w:rPr>
                <w:rFonts w:ascii="Arial" w:eastAsia="Times New Roman" w:hAnsi="Arial" w:cs="Arial"/>
                <w:color w:val="000000"/>
                <w:sz w:val="18"/>
                <w:szCs w:val="18"/>
                <w:lang w:eastAsia="nl-BE"/>
              </w:rPr>
              <w:t>artikel 55 VCO</w:t>
            </w:r>
          </w:p>
          <w:p w14:paraId="7FB647A7" w14:textId="01ABCC89" w:rsidR="000B7AE2" w:rsidRPr="005155AA" w:rsidRDefault="000B7AE2" w:rsidP="00596805">
            <w:pPr>
              <w:spacing w:after="0" w:line="240" w:lineRule="auto"/>
              <w:jc w:val="center"/>
              <w:rPr>
                <w:rFonts w:ascii="Arial" w:eastAsia="Times New Roman" w:hAnsi="Arial" w:cs="Arial"/>
                <w:color w:val="000000"/>
                <w:sz w:val="18"/>
                <w:szCs w:val="18"/>
                <w:lang w:eastAsia="nl-BE"/>
              </w:rPr>
            </w:pPr>
            <w:r>
              <w:rPr>
                <w:rFonts w:ascii="Arial" w:eastAsia="Times New Roman" w:hAnsi="Arial" w:cs="Arial"/>
                <w:color w:val="000000"/>
                <w:sz w:val="18"/>
                <w:szCs w:val="18"/>
                <w:lang w:eastAsia="nl-BE"/>
              </w:rPr>
              <w:t>+ artikel 58 VCO</w:t>
            </w:r>
          </w:p>
        </w:tc>
        <w:tc>
          <w:tcPr>
            <w:tcW w:w="1631" w:type="dxa"/>
            <w:tcBorders>
              <w:top w:val="nil"/>
              <w:left w:val="nil"/>
              <w:bottom w:val="single" w:sz="4" w:space="0" w:color="auto"/>
              <w:right w:val="single" w:sz="4" w:space="0" w:color="auto"/>
            </w:tcBorders>
            <w:shd w:val="clear" w:color="000000" w:fill="F2F2F2"/>
            <w:noWrap/>
            <w:vAlign w:val="bottom"/>
            <w:hideMark/>
          </w:tcPr>
          <w:p w14:paraId="0EE7BB78" w14:textId="77777777" w:rsidR="00596805" w:rsidRPr="005155AA" w:rsidRDefault="00596805" w:rsidP="00596805">
            <w:pPr>
              <w:spacing w:after="0" w:line="240" w:lineRule="auto"/>
              <w:rPr>
                <w:rFonts w:ascii="Arial" w:eastAsia="Times New Roman" w:hAnsi="Arial" w:cs="Arial"/>
                <w:color w:val="000000"/>
                <w:sz w:val="18"/>
                <w:szCs w:val="18"/>
                <w:lang w:eastAsia="nl-BE"/>
              </w:rPr>
            </w:pPr>
            <w:r w:rsidRPr="005155AA">
              <w:rPr>
                <w:rFonts w:ascii="Arial" w:eastAsia="Times New Roman" w:hAnsi="Arial" w:cs="Arial"/>
                <w:color w:val="000000"/>
                <w:sz w:val="18"/>
                <w:szCs w:val="18"/>
                <w:lang w:eastAsia="nl-BE"/>
              </w:rPr>
              <w:t> </w:t>
            </w:r>
          </w:p>
        </w:tc>
      </w:tr>
      <w:tr w:rsidR="00596805" w:rsidRPr="00F01797" w14:paraId="62C2E742" w14:textId="77777777" w:rsidTr="000D1534">
        <w:trPr>
          <w:trHeight w:val="1695"/>
        </w:trPr>
        <w:tc>
          <w:tcPr>
            <w:tcW w:w="2375"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252AEC6E" w14:textId="77777777" w:rsidR="00596805" w:rsidRPr="005155AA" w:rsidRDefault="00596805" w:rsidP="005155AA">
            <w:pPr>
              <w:spacing w:after="0" w:line="240" w:lineRule="auto"/>
              <w:jc w:val="both"/>
              <w:rPr>
                <w:rFonts w:ascii="Arial" w:eastAsia="Times New Roman" w:hAnsi="Arial" w:cs="Arial"/>
                <w:color w:val="000000"/>
                <w:sz w:val="18"/>
                <w:szCs w:val="18"/>
                <w:lang w:eastAsia="nl-BE"/>
              </w:rPr>
            </w:pPr>
            <w:r w:rsidRPr="005155AA">
              <w:rPr>
                <w:rFonts w:ascii="Arial" w:eastAsia="Times New Roman" w:hAnsi="Arial" w:cs="Arial"/>
                <w:color w:val="000000"/>
                <w:sz w:val="18"/>
                <w:szCs w:val="18"/>
                <w:lang w:eastAsia="nl-BE"/>
              </w:rPr>
              <w:t>Controle</w:t>
            </w:r>
          </w:p>
        </w:tc>
        <w:tc>
          <w:tcPr>
            <w:tcW w:w="3490" w:type="dxa"/>
            <w:tcBorders>
              <w:top w:val="nil"/>
              <w:left w:val="nil"/>
              <w:bottom w:val="single" w:sz="4" w:space="0" w:color="auto"/>
              <w:right w:val="single" w:sz="4" w:space="0" w:color="auto"/>
            </w:tcBorders>
            <w:shd w:val="clear" w:color="000000" w:fill="F2F2F2"/>
            <w:vAlign w:val="center"/>
            <w:hideMark/>
          </w:tcPr>
          <w:p w14:paraId="78697157" w14:textId="77777777" w:rsidR="00217BE6" w:rsidRDefault="00596805" w:rsidP="005155AA">
            <w:pPr>
              <w:spacing w:after="0" w:line="240" w:lineRule="auto"/>
              <w:jc w:val="both"/>
              <w:rPr>
                <w:rFonts w:ascii="Arial" w:eastAsia="Times New Roman" w:hAnsi="Arial" w:cs="Arial"/>
                <w:color w:val="000000"/>
                <w:sz w:val="18"/>
                <w:szCs w:val="18"/>
                <w:lang w:eastAsia="nl-BE"/>
              </w:rPr>
            </w:pPr>
            <w:r w:rsidRPr="005155AA">
              <w:rPr>
                <w:rFonts w:ascii="Arial" w:eastAsia="Times New Roman" w:hAnsi="Arial" w:cs="Arial"/>
                <w:color w:val="000000"/>
                <w:sz w:val="18"/>
                <w:szCs w:val="18"/>
                <w:lang w:eastAsia="nl-BE"/>
              </w:rPr>
              <w:t xml:space="preserve"> </w:t>
            </w:r>
          </w:p>
          <w:p w14:paraId="7ABD0A01" w14:textId="7D45C37C" w:rsidR="00596805" w:rsidRPr="005155AA" w:rsidRDefault="00596805" w:rsidP="005155AA">
            <w:pPr>
              <w:spacing w:after="0" w:line="240" w:lineRule="auto"/>
              <w:jc w:val="both"/>
              <w:rPr>
                <w:rFonts w:ascii="Arial" w:eastAsia="Times New Roman" w:hAnsi="Arial" w:cs="Arial"/>
                <w:color w:val="000000"/>
                <w:sz w:val="18"/>
                <w:szCs w:val="18"/>
                <w:lang w:eastAsia="nl-BE"/>
              </w:rPr>
            </w:pPr>
            <w:r w:rsidRPr="005155AA">
              <w:rPr>
                <w:rFonts w:ascii="Arial" w:eastAsia="Times New Roman" w:hAnsi="Arial" w:cs="Arial"/>
                <w:color w:val="000000"/>
                <w:sz w:val="18"/>
                <w:szCs w:val="18"/>
                <w:lang w:eastAsia="nl-BE"/>
              </w:rPr>
              <w:t>De bedrijfsrevisor formuleert in de managementletter de vastgestelde inefficiënties en inbreuken op andere regelgeving die financiële gevolgen voor de entiteit met zich hebben meegebracht of met zich zouden kunnen meebrengen.</w:t>
            </w:r>
          </w:p>
        </w:tc>
        <w:tc>
          <w:tcPr>
            <w:tcW w:w="1564" w:type="dxa"/>
            <w:tcBorders>
              <w:top w:val="nil"/>
              <w:left w:val="nil"/>
              <w:bottom w:val="single" w:sz="4" w:space="0" w:color="auto"/>
              <w:right w:val="single" w:sz="4" w:space="0" w:color="auto"/>
            </w:tcBorders>
            <w:shd w:val="clear" w:color="000000" w:fill="F2F2F2"/>
            <w:noWrap/>
            <w:vAlign w:val="center"/>
            <w:hideMark/>
          </w:tcPr>
          <w:p w14:paraId="4135C498" w14:textId="77777777" w:rsidR="00596805" w:rsidRPr="005155AA" w:rsidRDefault="00596805" w:rsidP="00596805">
            <w:pPr>
              <w:spacing w:after="0" w:line="240" w:lineRule="auto"/>
              <w:jc w:val="center"/>
              <w:rPr>
                <w:rFonts w:ascii="Arial" w:eastAsia="Times New Roman" w:hAnsi="Arial" w:cs="Arial"/>
                <w:color w:val="000000"/>
                <w:sz w:val="18"/>
                <w:szCs w:val="18"/>
                <w:lang w:eastAsia="nl-BE"/>
              </w:rPr>
            </w:pPr>
            <w:r w:rsidRPr="005155AA">
              <w:rPr>
                <w:rFonts w:ascii="Arial" w:eastAsia="Times New Roman" w:hAnsi="Arial" w:cs="Arial"/>
                <w:color w:val="000000"/>
                <w:sz w:val="18"/>
                <w:szCs w:val="18"/>
                <w:lang w:eastAsia="nl-BE"/>
              </w:rPr>
              <w:t> </w:t>
            </w:r>
          </w:p>
        </w:tc>
        <w:tc>
          <w:tcPr>
            <w:tcW w:w="1631" w:type="dxa"/>
            <w:tcBorders>
              <w:top w:val="nil"/>
              <w:left w:val="nil"/>
              <w:bottom w:val="single" w:sz="4" w:space="0" w:color="auto"/>
              <w:right w:val="single" w:sz="4" w:space="0" w:color="auto"/>
            </w:tcBorders>
            <w:shd w:val="clear" w:color="000000" w:fill="F2F2F2"/>
            <w:noWrap/>
            <w:vAlign w:val="center"/>
            <w:hideMark/>
          </w:tcPr>
          <w:p w14:paraId="46C3DB5A" w14:textId="77777777" w:rsidR="00596805" w:rsidRPr="005155AA" w:rsidRDefault="00596805" w:rsidP="00596805">
            <w:pPr>
              <w:spacing w:after="0" w:line="240" w:lineRule="auto"/>
              <w:jc w:val="center"/>
              <w:rPr>
                <w:rFonts w:ascii="Arial" w:eastAsia="Times New Roman" w:hAnsi="Arial" w:cs="Arial"/>
                <w:color w:val="000000"/>
                <w:sz w:val="18"/>
                <w:szCs w:val="18"/>
                <w:lang w:eastAsia="nl-BE"/>
              </w:rPr>
            </w:pPr>
            <w:r w:rsidRPr="005155AA">
              <w:rPr>
                <w:rFonts w:ascii="Arial" w:eastAsia="Times New Roman" w:hAnsi="Arial" w:cs="Arial"/>
                <w:color w:val="000000"/>
                <w:sz w:val="18"/>
                <w:szCs w:val="18"/>
                <w:lang w:eastAsia="nl-BE"/>
              </w:rPr>
              <w:t>artikel 60 BVCO</w:t>
            </w:r>
          </w:p>
        </w:tc>
      </w:tr>
      <w:tr w:rsidR="00596805" w:rsidRPr="00F01797" w14:paraId="42B05571" w14:textId="77777777" w:rsidTr="000D1534">
        <w:trPr>
          <w:trHeight w:val="1620"/>
        </w:trPr>
        <w:tc>
          <w:tcPr>
            <w:tcW w:w="2375"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2EE956EA" w14:textId="77777777" w:rsidR="00596805" w:rsidRPr="005155AA" w:rsidRDefault="00596805" w:rsidP="005155AA">
            <w:pPr>
              <w:spacing w:after="0" w:line="240" w:lineRule="auto"/>
              <w:jc w:val="both"/>
              <w:rPr>
                <w:rFonts w:ascii="Arial" w:eastAsia="Times New Roman" w:hAnsi="Arial" w:cs="Arial"/>
                <w:color w:val="000000"/>
                <w:sz w:val="18"/>
                <w:szCs w:val="18"/>
                <w:lang w:eastAsia="nl-BE"/>
              </w:rPr>
            </w:pPr>
            <w:r w:rsidRPr="005155AA">
              <w:rPr>
                <w:rFonts w:ascii="Arial" w:eastAsia="Times New Roman" w:hAnsi="Arial" w:cs="Arial"/>
                <w:color w:val="000000"/>
                <w:sz w:val="18"/>
                <w:szCs w:val="18"/>
                <w:lang w:eastAsia="nl-BE"/>
              </w:rPr>
              <w:t>Controle</w:t>
            </w:r>
          </w:p>
        </w:tc>
        <w:tc>
          <w:tcPr>
            <w:tcW w:w="3490" w:type="dxa"/>
            <w:tcBorders>
              <w:top w:val="nil"/>
              <w:left w:val="nil"/>
              <w:bottom w:val="single" w:sz="4" w:space="0" w:color="auto"/>
              <w:right w:val="single" w:sz="4" w:space="0" w:color="auto"/>
            </w:tcBorders>
            <w:shd w:val="clear" w:color="000000" w:fill="F2F2F2"/>
            <w:vAlign w:val="center"/>
            <w:hideMark/>
          </w:tcPr>
          <w:p w14:paraId="0E0519C3" w14:textId="77777777" w:rsidR="002D2A65" w:rsidRDefault="002D2A65" w:rsidP="005155AA">
            <w:pPr>
              <w:spacing w:after="0" w:line="240" w:lineRule="auto"/>
              <w:jc w:val="both"/>
              <w:rPr>
                <w:rFonts w:ascii="Arial" w:eastAsia="Times New Roman" w:hAnsi="Arial" w:cs="Arial"/>
                <w:color w:val="000000"/>
                <w:sz w:val="18"/>
                <w:szCs w:val="18"/>
                <w:lang w:eastAsia="nl-BE"/>
              </w:rPr>
            </w:pPr>
          </w:p>
          <w:p w14:paraId="1ED9F1B6" w14:textId="002E1C35" w:rsidR="00596805" w:rsidRDefault="00596805" w:rsidP="005155AA">
            <w:pPr>
              <w:spacing w:after="0" w:line="240" w:lineRule="auto"/>
              <w:jc w:val="both"/>
              <w:rPr>
                <w:rFonts w:ascii="Arial" w:eastAsia="Times New Roman" w:hAnsi="Arial" w:cs="Arial"/>
                <w:color w:val="000000"/>
                <w:sz w:val="18"/>
                <w:szCs w:val="18"/>
                <w:lang w:eastAsia="nl-BE"/>
              </w:rPr>
            </w:pPr>
            <w:r w:rsidRPr="005155AA">
              <w:rPr>
                <w:rFonts w:ascii="Arial" w:eastAsia="Times New Roman" w:hAnsi="Arial" w:cs="Arial"/>
                <w:color w:val="000000"/>
                <w:sz w:val="18"/>
                <w:szCs w:val="18"/>
                <w:lang w:eastAsia="nl-BE"/>
              </w:rPr>
              <w:t xml:space="preserve">Voor de financiële afhandeling van een dossier wordt er gebruik gemaakt van een organisatiebeheersingssysteem dat beantwoordt aan het principe van functiescheiding en verenigbaar is met de continuïteit van de werking van de entiteit. </w:t>
            </w:r>
          </w:p>
          <w:p w14:paraId="03FCCBA3" w14:textId="77777777" w:rsidR="00217BE6" w:rsidRDefault="00217BE6" w:rsidP="005155AA">
            <w:pPr>
              <w:spacing w:after="0" w:line="240" w:lineRule="auto"/>
              <w:jc w:val="both"/>
              <w:rPr>
                <w:rFonts w:ascii="Arial" w:eastAsia="Times New Roman" w:hAnsi="Arial" w:cs="Arial"/>
                <w:color w:val="000000"/>
                <w:sz w:val="18"/>
                <w:szCs w:val="18"/>
                <w:lang w:eastAsia="nl-BE"/>
              </w:rPr>
            </w:pPr>
          </w:p>
          <w:p w14:paraId="48B81344" w14:textId="74BA018A" w:rsidR="002D2A65" w:rsidRPr="005155AA" w:rsidRDefault="002D2A65" w:rsidP="005155AA">
            <w:pPr>
              <w:spacing w:after="0" w:line="240" w:lineRule="auto"/>
              <w:jc w:val="both"/>
              <w:rPr>
                <w:rFonts w:ascii="Arial" w:eastAsia="Times New Roman" w:hAnsi="Arial" w:cs="Arial"/>
                <w:color w:val="000000"/>
                <w:sz w:val="18"/>
                <w:szCs w:val="18"/>
                <w:lang w:eastAsia="nl-BE"/>
              </w:rPr>
            </w:pPr>
          </w:p>
        </w:tc>
        <w:tc>
          <w:tcPr>
            <w:tcW w:w="1564" w:type="dxa"/>
            <w:tcBorders>
              <w:top w:val="nil"/>
              <w:left w:val="nil"/>
              <w:bottom w:val="single" w:sz="4" w:space="0" w:color="auto"/>
              <w:right w:val="single" w:sz="4" w:space="0" w:color="auto"/>
            </w:tcBorders>
            <w:shd w:val="clear" w:color="000000" w:fill="F2F2F2"/>
            <w:noWrap/>
            <w:vAlign w:val="center"/>
            <w:hideMark/>
          </w:tcPr>
          <w:p w14:paraId="58C803C0" w14:textId="77777777" w:rsidR="00596805" w:rsidRPr="005155AA" w:rsidRDefault="00596805" w:rsidP="00596805">
            <w:pPr>
              <w:spacing w:after="0" w:line="240" w:lineRule="auto"/>
              <w:jc w:val="center"/>
              <w:rPr>
                <w:rFonts w:ascii="Arial" w:eastAsia="Times New Roman" w:hAnsi="Arial" w:cs="Arial"/>
                <w:color w:val="000000"/>
                <w:sz w:val="18"/>
                <w:szCs w:val="18"/>
                <w:lang w:eastAsia="nl-BE"/>
              </w:rPr>
            </w:pPr>
            <w:r w:rsidRPr="005155AA">
              <w:rPr>
                <w:rFonts w:ascii="Arial" w:eastAsia="Times New Roman" w:hAnsi="Arial" w:cs="Arial"/>
                <w:color w:val="000000"/>
                <w:sz w:val="18"/>
                <w:szCs w:val="18"/>
                <w:lang w:eastAsia="nl-BE"/>
              </w:rPr>
              <w:t>artikel 68 VCO</w:t>
            </w:r>
          </w:p>
        </w:tc>
        <w:tc>
          <w:tcPr>
            <w:tcW w:w="1631" w:type="dxa"/>
            <w:tcBorders>
              <w:top w:val="nil"/>
              <w:left w:val="nil"/>
              <w:bottom w:val="single" w:sz="4" w:space="0" w:color="auto"/>
              <w:right w:val="single" w:sz="4" w:space="0" w:color="auto"/>
            </w:tcBorders>
            <w:shd w:val="clear" w:color="000000" w:fill="F2F2F2"/>
            <w:noWrap/>
            <w:vAlign w:val="bottom"/>
            <w:hideMark/>
          </w:tcPr>
          <w:p w14:paraId="0C44B3BF" w14:textId="77777777" w:rsidR="00596805" w:rsidRPr="005155AA" w:rsidRDefault="00596805" w:rsidP="00596805">
            <w:pPr>
              <w:spacing w:after="0" w:line="240" w:lineRule="auto"/>
              <w:rPr>
                <w:rFonts w:ascii="Arial" w:eastAsia="Times New Roman" w:hAnsi="Arial" w:cs="Arial"/>
                <w:color w:val="000000"/>
                <w:sz w:val="18"/>
                <w:szCs w:val="18"/>
                <w:lang w:eastAsia="nl-BE"/>
              </w:rPr>
            </w:pPr>
            <w:r w:rsidRPr="005155AA">
              <w:rPr>
                <w:rFonts w:ascii="Arial" w:eastAsia="Times New Roman" w:hAnsi="Arial" w:cs="Arial"/>
                <w:color w:val="000000"/>
                <w:sz w:val="18"/>
                <w:szCs w:val="18"/>
                <w:lang w:eastAsia="nl-BE"/>
              </w:rPr>
              <w:t> </w:t>
            </w:r>
          </w:p>
        </w:tc>
      </w:tr>
    </w:tbl>
    <w:p w14:paraId="0AF1A779" w14:textId="77777777" w:rsidR="00596805" w:rsidRPr="005155AA" w:rsidRDefault="00596805" w:rsidP="00596805">
      <w:pPr>
        <w:jc w:val="both"/>
        <w:rPr>
          <w:rFonts w:ascii="Arial" w:hAnsi="Arial" w:cs="Arial"/>
          <w:sz w:val="18"/>
          <w:szCs w:val="18"/>
        </w:rPr>
      </w:pPr>
    </w:p>
    <w:p w14:paraId="73B27737" w14:textId="057DDAB1" w:rsidR="001A7EBC" w:rsidRPr="005155AA" w:rsidRDefault="00CE160E" w:rsidP="00CD4207">
      <w:pPr>
        <w:pStyle w:val="Heading1"/>
        <w:spacing w:after="240"/>
        <w:ind w:left="709" w:hanging="709"/>
        <w:jc w:val="both"/>
        <w:rPr>
          <w:rFonts w:ascii="Arial" w:hAnsi="Arial" w:cs="Arial"/>
          <w:sz w:val="18"/>
          <w:szCs w:val="18"/>
        </w:rPr>
      </w:pPr>
      <w:bookmarkStart w:id="5" w:name="_Toc58500440"/>
      <w:r w:rsidRPr="005155AA">
        <w:rPr>
          <w:rFonts w:ascii="Arial" w:hAnsi="Arial" w:cs="Arial"/>
          <w:sz w:val="18"/>
          <w:szCs w:val="18"/>
        </w:rPr>
        <w:t>3.</w:t>
      </w:r>
      <w:r w:rsidR="00127972" w:rsidRPr="005155AA">
        <w:rPr>
          <w:rFonts w:ascii="Arial" w:hAnsi="Arial" w:cs="Arial"/>
          <w:sz w:val="18"/>
          <w:szCs w:val="18"/>
        </w:rPr>
        <w:t xml:space="preserve">Welke zijn de minimale controles die de </w:t>
      </w:r>
      <w:r w:rsidR="00576315" w:rsidRPr="005155AA">
        <w:rPr>
          <w:rFonts w:ascii="Arial" w:hAnsi="Arial" w:cs="Arial"/>
          <w:sz w:val="18"/>
          <w:szCs w:val="18"/>
        </w:rPr>
        <w:t>bedrijfs</w:t>
      </w:r>
      <w:r w:rsidR="00127972" w:rsidRPr="005155AA">
        <w:rPr>
          <w:rFonts w:ascii="Arial" w:hAnsi="Arial" w:cs="Arial"/>
          <w:sz w:val="18"/>
          <w:szCs w:val="18"/>
        </w:rPr>
        <w:t>revisor in dit verband moet uitvoeren?</w:t>
      </w:r>
      <w:bookmarkEnd w:id="5"/>
      <w:r w:rsidR="001A7EBC" w:rsidRPr="005155AA">
        <w:rPr>
          <w:rFonts w:ascii="Arial" w:hAnsi="Arial" w:cs="Arial"/>
          <w:sz w:val="18"/>
          <w:szCs w:val="18"/>
        </w:rPr>
        <w:t xml:space="preserve"> </w:t>
      </w:r>
    </w:p>
    <w:p w14:paraId="09B4C62F" w14:textId="43B072EB" w:rsidR="00EB149B" w:rsidRPr="005155AA" w:rsidRDefault="00EB149B" w:rsidP="00EB149B">
      <w:pPr>
        <w:rPr>
          <w:rFonts w:ascii="Arial" w:hAnsi="Arial" w:cs="Arial"/>
          <w:sz w:val="18"/>
          <w:szCs w:val="18"/>
        </w:rPr>
      </w:pPr>
      <w:r w:rsidRPr="005155AA">
        <w:rPr>
          <w:rFonts w:ascii="Arial" w:hAnsi="Arial" w:cs="Arial"/>
          <w:sz w:val="18"/>
          <w:szCs w:val="18"/>
        </w:rPr>
        <w:t>Hoofdstuk</w:t>
      </w:r>
      <w:r w:rsidR="00603413">
        <w:rPr>
          <w:rFonts w:ascii="Arial" w:hAnsi="Arial" w:cs="Arial"/>
          <w:sz w:val="18"/>
          <w:szCs w:val="18"/>
        </w:rPr>
        <w:t>ken</w:t>
      </w:r>
      <w:r w:rsidRPr="005155AA">
        <w:rPr>
          <w:rFonts w:ascii="Arial" w:hAnsi="Arial" w:cs="Arial"/>
          <w:sz w:val="18"/>
          <w:szCs w:val="18"/>
        </w:rPr>
        <w:t xml:space="preserve"> 2 tot en met 6</w:t>
      </w:r>
      <w:r w:rsidR="001E6CDB">
        <w:rPr>
          <w:rFonts w:ascii="Arial" w:hAnsi="Arial" w:cs="Arial"/>
          <w:sz w:val="18"/>
          <w:szCs w:val="18"/>
        </w:rPr>
        <w:t xml:space="preserve"> van </w:t>
      </w:r>
      <w:r w:rsidR="00603413">
        <w:rPr>
          <w:rFonts w:ascii="Arial" w:hAnsi="Arial" w:cs="Arial"/>
          <w:sz w:val="18"/>
          <w:szCs w:val="18"/>
        </w:rPr>
        <w:t>de</w:t>
      </w:r>
      <w:r w:rsidR="001E6CDB">
        <w:rPr>
          <w:rFonts w:ascii="Arial" w:hAnsi="Arial" w:cs="Arial"/>
          <w:sz w:val="18"/>
          <w:szCs w:val="18"/>
        </w:rPr>
        <w:t xml:space="preserve"> VCO</w:t>
      </w:r>
      <w:r w:rsidR="00753F81" w:rsidRPr="00753F81">
        <w:rPr>
          <w:rFonts w:ascii="Arial" w:hAnsi="Arial" w:cs="Arial"/>
          <w:sz w:val="18"/>
          <w:szCs w:val="18"/>
        </w:rPr>
        <w:t xml:space="preserve"> </w:t>
      </w:r>
      <w:r w:rsidR="00753F81" w:rsidRPr="005155AA">
        <w:rPr>
          <w:rFonts w:ascii="Arial" w:hAnsi="Arial" w:cs="Arial"/>
          <w:sz w:val="18"/>
          <w:szCs w:val="18"/>
        </w:rPr>
        <w:t>en het BVCO van 17 mei 2019</w:t>
      </w:r>
      <w:r w:rsidR="00753F81">
        <w:rPr>
          <w:rFonts w:ascii="Arial" w:hAnsi="Arial" w:cs="Arial"/>
          <w:sz w:val="18"/>
          <w:szCs w:val="18"/>
        </w:rPr>
        <w:t>.</w:t>
      </w:r>
    </w:p>
    <w:p w14:paraId="434068D8" w14:textId="3BB50E12" w:rsidR="00EB149B" w:rsidRPr="005155AA" w:rsidRDefault="00EB149B" w:rsidP="00EB149B">
      <w:pPr>
        <w:jc w:val="both"/>
        <w:rPr>
          <w:rFonts w:ascii="Arial" w:hAnsi="Arial" w:cs="Arial"/>
          <w:sz w:val="18"/>
          <w:szCs w:val="18"/>
        </w:rPr>
      </w:pPr>
      <w:r w:rsidRPr="005155AA">
        <w:rPr>
          <w:rFonts w:ascii="Arial" w:hAnsi="Arial" w:cs="Arial"/>
          <w:sz w:val="18"/>
          <w:szCs w:val="18"/>
        </w:rPr>
        <w:t>Overige hoofdstukken</w:t>
      </w:r>
      <w:r w:rsidR="00753F81">
        <w:rPr>
          <w:rFonts w:ascii="Arial" w:hAnsi="Arial" w:cs="Arial"/>
          <w:sz w:val="18"/>
          <w:szCs w:val="18"/>
        </w:rPr>
        <w:t xml:space="preserve"> van </w:t>
      </w:r>
      <w:r w:rsidR="00603413">
        <w:rPr>
          <w:rFonts w:ascii="Arial" w:hAnsi="Arial" w:cs="Arial"/>
          <w:sz w:val="18"/>
          <w:szCs w:val="18"/>
        </w:rPr>
        <w:t>de</w:t>
      </w:r>
      <w:r w:rsidR="00753F81">
        <w:rPr>
          <w:rFonts w:ascii="Arial" w:hAnsi="Arial" w:cs="Arial"/>
          <w:sz w:val="18"/>
          <w:szCs w:val="18"/>
        </w:rPr>
        <w:t xml:space="preserve"> VCO</w:t>
      </w:r>
      <w:r w:rsidRPr="005155AA">
        <w:rPr>
          <w:rFonts w:ascii="Arial" w:hAnsi="Arial" w:cs="Arial"/>
          <w:sz w:val="18"/>
          <w:szCs w:val="18"/>
        </w:rPr>
        <w:t xml:space="preserve"> dienen </w:t>
      </w:r>
      <w:r w:rsidR="00753F81">
        <w:rPr>
          <w:rFonts w:ascii="Arial" w:hAnsi="Arial" w:cs="Arial"/>
          <w:sz w:val="18"/>
          <w:szCs w:val="18"/>
        </w:rPr>
        <w:t xml:space="preserve">te worden </w:t>
      </w:r>
      <w:r w:rsidRPr="005155AA">
        <w:rPr>
          <w:rFonts w:ascii="Arial" w:hAnsi="Arial" w:cs="Arial"/>
          <w:sz w:val="18"/>
          <w:szCs w:val="18"/>
        </w:rPr>
        <w:t xml:space="preserve">beoordeeld in functie van de materialiteit binnen het individuele dossier. </w:t>
      </w:r>
    </w:p>
    <w:p w14:paraId="6BB8DA70" w14:textId="1402C0E8" w:rsidR="00EB149B" w:rsidRPr="005155AA" w:rsidRDefault="00EB149B" w:rsidP="00EB149B">
      <w:pPr>
        <w:pStyle w:val="ListParagraph"/>
        <w:numPr>
          <w:ilvl w:val="0"/>
          <w:numId w:val="21"/>
        </w:numPr>
        <w:jc w:val="both"/>
        <w:rPr>
          <w:rFonts w:ascii="Arial" w:hAnsi="Arial" w:cs="Arial"/>
          <w:sz w:val="18"/>
          <w:szCs w:val="18"/>
        </w:rPr>
      </w:pPr>
      <w:r w:rsidRPr="005155AA">
        <w:rPr>
          <w:rFonts w:ascii="Arial" w:hAnsi="Arial" w:cs="Arial"/>
          <w:sz w:val="18"/>
          <w:szCs w:val="18"/>
        </w:rPr>
        <w:t>Giften en prijzen</w:t>
      </w:r>
    </w:p>
    <w:p w14:paraId="48AF5355" w14:textId="69D48492" w:rsidR="00EB149B" w:rsidRPr="005155AA" w:rsidRDefault="00EB149B" w:rsidP="00EB149B">
      <w:pPr>
        <w:pStyle w:val="ListParagraph"/>
        <w:numPr>
          <w:ilvl w:val="0"/>
          <w:numId w:val="21"/>
        </w:numPr>
        <w:jc w:val="both"/>
        <w:rPr>
          <w:rFonts w:ascii="Arial" w:hAnsi="Arial" w:cs="Arial"/>
          <w:sz w:val="18"/>
          <w:szCs w:val="18"/>
        </w:rPr>
      </w:pPr>
      <w:r w:rsidRPr="005155AA">
        <w:rPr>
          <w:rFonts w:ascii="Arial" w:hAnsi="Arial" w:cs="Arial"/>
          <w:sz w:val="18"/>
          <w:szCs w:val="18"/>
        </w:rPr>
        <w:t>Subsidies</w:t>
      </w:r>
    </w:p>
    <w:p w14:paraId="18EECD4D" w14:textId="7B47EE51" w:rsidR="00EB149B" w:rsidRPr="005155AA" w:rsidRDefault="00EB149B" w:rsidP="00EB149B">
      <w:pPr>
        <w:pStyle w:val="ListParagraph"/>
        <w:numPr>
          <w:ilvl w:val="0"/>
          <w:numId w:val="21"/>
        </w:numPr>
        <w:jc w:val="both"/>
        <w:rPr>
          <w:rFonts w:ascii="Arial" w:hAnsi="Arial" w:cs="Arial"/>
          <w:sz w:val="18"/>
          <w:szCs w:val="18"/>
        </w:rPr>
      </w:pPr>
      <w:r w:rsidRPr="005155AA">
        <w:rPr>
          <w:rFonts w:ascii="Arial" w:hAnsi="Arial" w:cs="Arial"/>
          <w:sz w:val="18"/>
          <w:szCs w:val="18"/>
        </w:rPr>
        <w:t>Kas-,schuld- en waarborgbeheer</w:t>
      </w:r>
    </w:p>
    <w:p w14:paraId="463E65FC" w14:textId="0C5F1213" w:rsidR="00EB149B" w:rsidRPr="005155AA" w:rsidRDefault="00EB149B" w:rsidP="005155AA">
      <w:pPr>
        <w:pStyle w:val="ListParagraph"/>
        <w:numPr>
          <w:ilvl w:val="0"/>
          <w:numId w:val="21"/>
        </w:numPr>
        <w:jc w:val="both"/>
        <w:rPr>
          <w:rFonts w:ascii="Arial" w:hAnsi="Arial" w:cs="Arial"/>
          <w:sz w:val="18"/>
          <w:szCs w:val="18"/>
        </w:rPr>
      </w:pPr>
      <w:r w:rsidRPr="005155AA">
        <w:rPr>
          <w:rFonts w:ascii="Arial" w:hAnsi="Arial" w:cs="Arial"/>
          <w:sz w:val="18"/>
          <w:szCs w:val="18"/>
        </w:rPr>
        <w:t>…</w:t>
      </w:r>
    </w:p>
    <w:p w14:paraId="209463E8" w14:textId="270790BB" w:rsidR="001A7EBC" w:rsidRPr="005155AA" w:rsidRDefault="00893BFC" w:rsidP="001A7EBC">
      <w:pPr>
        <w:pStyle w:val="Heading1"/>
        <w:spacing w:after="240"/>
        <w:ind w:left="709" w:hanging="1"/>
        <w:jc w:val="both"/>
        <w:rPr>
          <w:rFonts w:ascii="Arial" w:hAnsi="Arial" w:cs="Arial"/>
          <w:sz w:val="18"/>
          <w:szCs w:val="18"/>
        </w:rPr>
      </w:pPr>
      <w:bookmarkStart w:id="6" w:name="_Toc58500441"/>
      <w:r>
        <w:rPr>
          <w:rFonts w:ascii="Arial" w:hAnsi="Arial" w:cs="Arial"/>
          <w:sz w:val="18"/>
          <w:szCs w:val="18"/>
        </w:rPr>
        <w:lastRenderedPageBreak/>
        <w:t xml:space="preserve">Toepassing van het normatief kader </w:t>
      </w:r>
      <w:r w:rsidR="00391045">
        <w:rPr>
          <w:rFonts w:ascii="Arial" w:hAnsi="Arial" w:cs="Arial"/>
          <w:sz w:val="18"/>
          <w:szCs w:val="18"/>
        </w:rPr>
        <w:t xml:space="preserve">voor de verslaggeving van </w:t>
      </w:r>
      <w:r>
        <w:rPr>
          <w:rFonts w:ascii="Arial" w:hAnsi="Arial" w:cs="Arial"/>
          <w:sz w:val="18"/>
          <w:szCs w:val="18"/>
        </w:rPr>
        <w:t>de</w:t>
      </w:r>
      <w:r w:rsidR="001F0E20">
        <w:rPr>
          <w:rFonts w:ascii="Arial" w:hAnsi="Arial" w:cs="Arial"/>
          <w:sz w:val="18"/>
          <w:szCs w:val="18"/>
        </w:rPr>
        <w:t xml:space="preserve"> drie clusters</w:t>
      </w:r>
      <w:bookmarkEnd w:id="6"/>
    </w:p>
    <w:p w14:paraId="325B2CC5" w14:textId="4FBB0899" w:rsidR="001F0E20" w:rsidRDefault="00C83D23" w:rsidP="00274BC5">
      <w:pPr>
        <w:pStyle w:val="ListParagraph"/>
        <w:numPr>
          <w:ilvl w:val="0"/>
          <w:numId w:val="2"/>
        </w:numPr>
        <w:ind w:left="360"/>
        <w:contextualSpacing w:val="0"/>
        <w:jc w:val="both"/>
        <w:rPr>
          <w:rFonts w:ascii="Arial" w:hAnsi="Arial" w:cs="Arial"/>
          <w:sz w:val="18"/>
          <w:szCs w:val="18"/>
        </w:rPr>
      </w:pPr>
      <w:r w:rsidRPr="005155AA">
        <w:rPr>
          <w:rFonts w:ascii="Arial" w:hAnsi="Arial" w:cs="Arial"/>
          <w:sz w:val="18"/>
          <w:szCs w:val="18"/>
        </w:rPr>
        <w:t xml:space="preserve">Er kan worden aangenomen dat </w:t>
      </w:r>
      <w:r w:rsidR="001F0E20">
        <w:rPr>
          <w:rFonts w:ascii="Arial" w:hAnsi="Arial" w:cs="Arial"/>
          <w:sz w:val="18"/>
          <w:szCs w:val="18"/>
        </w:rPr>
        <w:t>de verslaggeving</w:t>
      </w:r>
      <w:r w:rsidRPr="005155AA">
        <w:rPr>
          <w:rFonts w:ascii="Arial" w:hAnsi="Arial" w:cs="Arial"/>
          <w:sz w:val="18"/>
          <w:szCs w:val="18"/>
        </w:rPr>
        <w:t xml:space="preserve"> voor desbetreffende beoordeling van de </w:t>
      </w:r>
      <w:r w:rsidRPr="005155AA">
        <w:rPr>
          <w:rFonts w:ascii="Arial" w:hAnsi="Arial" w:cs="Arial"/>
          <w:i/>
          <w:sz w:val="18"/>
          <w:szCs w:val="18"/>
        </w:rPr>
        <w:t>compliance</w:t>
      </w:r>
      <w:r w:rsidRPr="005155AA">
        <w:rPr>
          <w:rFonts w:ascii="Arial" w:hAnsi="Arial" w:cs="Arial"/>
          <w:sz w:val="18"/>
          <w:szCs w:val="18"/>
        </w:rPr>
        <w:t xml:space="preserve"> van de Vlaamse rechtspersoon met de relevante regels en principes van hoofdstukken 2 tot en met 6 van de VCO en het BVCO van 17 mei 2019 zoals bepaald in artikel 60 van het BVCO van 17 mei 2019</w:t>
      </w:r>
      <w:r w:rsidR="00881C07" w:rsidRPr="005155AA">
        <w:rPr>
          <w:rFonts w:ascii="Arial" w:hAnsi="Arial" w:cs="Arial"/>
          <w:sz w:val="18"/>
          <w:szCs w:val="18"/>
        </w:rPr>
        <w:t xml:space="preserve"> </w:t>
      </w:r>
      <w:r w:rsidR="001F0E20">
        <w:rPr>
          <w:rFonts w:ascii="Arial" w:hAnsi="Arial" w:cs="Arial"/>
          <w:sz w:val="18"/>
          <w:szCs w:val="18"/>
        </w:rPr>
        <w:t xml:space="preserve">als volgt is opgebouwd, </w:t>
      </w:r>
      <w:r w:rsidR="00391045">
        <w:rPr>
          <w:rFonts w:ascii="Arial" w:hAnsi="Arial" w:cs="Arial"/>
          <w:sz w:val="18"/>
          <w:szCs w:val="18"/>
        </w:rPr>
        <w:t>met</w:t>
      </w:r>
      <w:r w:rsidR="001F0E20">
        <w:rPr>
          <w:rFonts w:ascii="Arial" w:hAnsi="Arial" w:cs="Arial"/>
          <w:sz w:val="18"/>
          <w:szCs w:val="18"/>
        </w:rPr>
        <w:t xml:space="preserve"> telkens het toepasselijk normatief kader:</w:t>
      </w:r>
    </w:p>
    <w:p w14:paraId="3387A8A2" w14:textId="409C454C" w:rsidR="001F0E20" w:rsidRDefault="001F0E20" w:rsidP="000D1534">
      <w:pPr>
        <w:pStyle w:val="ListParagraph"/>
        <w:numPr>
          <w:ilvl w:val="0"/>
          <w:numId w:val="21"/>
        </w:numPr>
        <w:jc w:val="both"/>
        <w:rPr>
          <w:rFonts w:ascii="Arial" w:hAnsi="Arial" w:cs="Arial"/>
          <w:sz w:val="18"/>
          <w:szCs w:val="18"/>
        </w:rPr>
      </w:pPr>
      <w:r w:rsidRPr="000D1534">
        <w:rPr>
          <w:rFonts w:ascii="Arial" w:hAnsi="Arial" w:cs="Arial"/>
          <w:b/>
          <w:bCs/>
          <w:sz w:val="18"/>
          <w:szCs w:val="18"/>
        </w:rPr>
        <w:t>Cluster 1</w:t>
      </w:r>
      <w:r w:rsidRPr="001F0E20">
        <w:rPr>
          <w:rFonts w:ascii="Arial" w:hAnsi="Arial" w:cs="Arial"/>
          <w:sz w:val="18"/>
          <w:szCs w:val="18"/>
        </w:rPr>
        <w:t>: 1° balans, 2° resultatenrekening en 4° toelichting bij de balans en de resultatenrekening</w:t>
      </w:r>
      <w:r w:rsidR="005571FC">
        <w:rPr>
          <w:rFonts w:ascii="Arial" w:hAnsi="Arial" w:cs="Arial"/>
          <w:sz w:val="18"/>
          <w:szCs w:val="18"/>
        </w:rPr>
        <w:t xml:space="preserve"> </w:t>
      </w:r>
      <w:r w:rsidR="003E5646">
        <w:rPr>
          <w:rFonts w:ascii="Arial" w:hAnsi="Arial" w:cs="Arial"/>
          <w:sz w:val="18"/>
          <w:szCs w:val="18"/>
        </w:rPr>
        <w:br/>
      </w:r>
      <w:r w:rsidR="005571FC">
        <w:rPr>
          <w:rFonts w:ascii="Arial" w:hAnsi="Arial" w:cs="Arial"/>
          <w:sz w:val="18"/>
          <w:szCs w:val="18"/>
        </w:rPr>
        <w:t>(</w:t>
      </w:r>
      <w:r w:rsidR="003E5646" w:rsidRPr="000D1534">
        <w:rPr>
          <w:rFonts w:ascii="Arial" w:hAnsi="Arial" w:cs="Arial"/>
          <w:i/>
          <w:iCs/>
          <w:sz w:val="18"/>
          <w:szCs w:val="18"/>
        </w:rPr>
        <w:t>cf</w:t>
      </w:r>
      <w:r w:rsidR="003E5646">
        <w:rPr>
          <w:rFonts w:ascii="Arial" w:hAnsi="Arial" w:cs="Arial"/>
          <w:sz w:val="18"/>
          <w:szCs w:val="18"/>
        </w:rPr>
        <w:t xml:space="preserve">. </w:t>
      </w:r>
      <w:r w:rsidR="005571FC">
        <w:rPr>
          <w:rFonts w:ascii="Arial" w:hAnsi="Arial" w:cs="Arial"/>
          <w:sz w:val="18"/>
          <w:szCs w:val="18"/>
        </w:rPr>
        <w:t>art.</w:t>
      </w:r>
      <w:r w:rsidR="003E5646">
        <w:rPr>
          <w:rFonts w:ascii="Arial" w:hAnsi="Arial" w:cs="Arial"/>
          <w:sz w:val="18"/>
          <w:szCs w:val="18"/>
        </w:rPr>
        <w:t xml:space="preserve"> 42, § 1, 1°, 2° en 4° VCO)</w:t>
      </w:r>
      <w:r w:rsidRPr="001F0E20">
        <w:rPr>
          <w:rFonts w:ascii="Arial" w:hAnsi="Arial" w:cs="Arial"/>
          <w:sz w:val="18"/>
          <w:szCs w:val="18"/>
        </w:rPr>
        <w:t xml:space="preserve">. </w:t>
      </w:r>
    </w:p>
    <w:p w14:paraId="3F0BB78F" w14:textId="77777777" w:rsidR="001F0E20" w:rsidRDefault="001F0E20" w:rsidP="001F0E20">
      <w:pPr>
        <w:pStyle w:val="ListParagraph"/>
        <w:ind w:left="360"/>
        <w:jc w:val="both"/>
        <w:rPr>
          <w:rFonts w:ascii="Arial" w:hAnsi="Arial" w:cs="Arial"/>
          <w:sz w:val="18"/>
          <w:szCs w:val="18"/>
        </w:rPr>
      </w:pPr>
    </w:p>
    <w:p w14:paraId="418229ED" w14:textId="1778955A" w:rsidR="001F0E20" w:rsidRDefault="001F0E20" w:rsidP="005846DB">
      <w:pPr>
        <w:pStyle w:val="ListParagraph"/>
        <w:ind w:left="360"/>
        <w:jc w:val="both"/>
        <w:rPr>
          <w:rFonts w:ascii="Arial" w:hAnsi="Arial" w:cs="Arial"/>
          <w:sz w:val="18"/>
          <w:szCs w:val="18"/>
        </w:rPr>
      </w:pPr>
      <w:r>
        <w:rPr>
          <w:rFonts w:ascii="Arial" w:hAnsi="Arial" w:cs="Arial"/>
          <w:sz w:val="18"/>
          <w:szCs w:val="18"/>
        </w:rPr>
        <w:t xml:space="preserve">Als normatief kader voor de verslaggeving van deze cluster zal de </w:t>
      </w:r>
      <w:r w:rsidR="00614734">
        <w:rPr>
          <w:rFonts w:ascii="Arial" w:hAnsi="Arial" w:cs="Arial"/>
          <w:sz w:val="18"/>
          <w:szCs w:val="18"/>
        </w:rPr>
        <w:t>bedrijfs</w:t>
      </w:r>
      <w:r w:rsidRPr="001F0E20">
        <w:rPr>
          <w:rFonts w:ascii="Arial" w:hAnsi="Arial" w:cs="Arial"/>
          <w:sz w:val="18"/>
          <w:szCs w:val="18"/>
        </w:rPr>
        <w:t xml:space="preserve">revisor de </w:t>
      </w:r>
      <w:r w:rsidR="00B17A8D">
        <w:rPr>
          <w:rFonts w:ascii="Arial" w:hAnsi="Arial" w:cs="Arial"/>
          <w:sz w:val="18"/>
          <w:szCs w:val="18"/>
        </w:rPr>
        <w:t>internationale auditstandaarden (</w:t>
      </w:r>
      <w:r w:rsidRPr="001F0E20">
        <w:rPr>
          <w:rFonts w:ascii="Arial" w:hAnsi="Arial" w:cs="Arial"/>
          <w:sz w:val="18"/>
          <w:szCs w:val="18"/>
        </w:rPr>
        <w:t>ISA's</w:t>
      </w:r>
      <w:r w:rsidR="00B17A8D">
        <w:rPr>
          <w:rFonts w:ascii="Arial" w:hAnsi="Arial" w:cs="Arial"/>
          <w:sz w:val="18"/>
          <w:szCs w:val="18"/>
        </w:rPr>
        <w:t>)</w:t>
      </w:r>
      <w:r w:rsidRPr="001F0E20">
        <w:rPr>
          <w:rFonts w:ascii="Arial" w:hAnsi="Arial" w:cs="Arial"/>
          <w:sz w:val="18"/>
          <w:szCs w:val="18"/>
        </w:rPr>
        <w:t xml:space="preserve"> </w:t>
      </w:r>
      <w:r w:rsidR="0097787E" w:rsidRPr="0097787E">
        <w:rPr>
          <w:rFonts w:ascii="Arial" w:hAnsi="Arial" w:cs="Arial"/>
          <w:sz w:val="18"/>
          <w:szCs w:val="18"/>
        </w:rPr>
        <w:t>in de reeksen 100 tot en met 700</w:t>
      </w:r>
      <w:r w:rsidR="0097787E">
        <w:rPr>
          <w:rFonts w:ascii="Arial" w:hAnsi="Arial" w:cs="Arial"/>
          <w:sz w:val="18"/>
          <w:szCs w:val="18"/>
        </w:rPr>
        <w:t xml:space="preserve"> </w:t>
      </w:r>
      <w:r w:rsidRPr="001F0E20">
        <w:rPr>
          <w:rFonts w:ascii="Arial" w:hAnsi="Arial" w:cs="Arial"/>
          <w:sz w:val="18"/>
          <w:szCs w:val="18"/>
        </w:rPr>
        <w:t>toepassen.</w:t>
      </w:r>
      <w:r w:rsidR="00302B14">
        <w:rPr>
          <w:rFonts w:ascii="Arial" w:hAnsi="Arial" w:cs="Arial"/>
          <w:sz w:val="18"/>
          <w:szCs w:val="18"/>
        </w:rPr>
        <w:t xml:space="preserve"> Hij dient over te gaan tot de controle van het getrouw beeld van de jaarrekening (balans, resultatenrekening en toelichting bij de balans en de resultatenrekening).</w:t>
      </w:r>
    </w:p>
    <w:p w14:paraId="0F408949" w14:textId="39DF6DDE" w:rsidR="00927A81" w:rsidRDefault="00927A81" w:rsidP="005846DB">
      <w:pPr>
        <w:pStyle w:val="ListParagraph"/>
        <w:ind w:left="360"/>
        <w:jc w:val="both"/>
        <w:rPr>
          <w:rFonts w:ascii="Arial" w:hAnsi="Arial" w:cs="Arial"/>
          <w:sz w:val="18"/>
          <w:szCs w:val="18"/>
        </w:rPr>
      </w:pPr>
    </w:p>
    <w:p w14:paraId="4B86A7E7" w14:textId="07E422FC" w:rsidR="00927A81" w:rsidRPr="000D1534" w:rsidRDefault="00927A81" w:rsidP="005846DB">
      <w:pPr>
        <w:pStyle w:val="ListParagraph"/>
        <w:ind w:left="360"/>
        <w:jc w:val="both"/>
        <w:rPr>
          <w:rFonts w:ascii="Arial" w:hAnsi="Arial" w:cs="Arial"/>
          <w:sz w:val="18"/>
          <w:szCs w:val="18"/>
        </w:rPr>
      </w:pPr>
      <w:r>
        <w:rPr>
          <w:rFonts w:ascii="Arial" w:hAnsi="Arial" w:cs="Arial"/>
          <w:sz w:val="18"/>
          <w:szCs w:val="18"/>
        </w:rPr>
        <w:t xml:space="preserve">De bedrijfsrevisor zal in zijn controleverklaring </w:t>
      </w:r>
      <w:r w:rsidRPr="005131B5">
        <w:rPr>
          <w:rFonts w:ascii="Arial" w:hAnsi="Arial" w:cs="Arial"/>
          <w:sz w:val="18"/>
          <w:szCs w:val="18"/>
        </w:rPr>
        <w:t xml:space="preserve">een conclusie met een redelijke mate van zekerheid </w:t>
      </w:r>
      <w:r>
        <w:rPr>
          <w:rFonts w:ascii="Arial" w:hAnsi="Arial" w:cs="Arial"/>
          <w:sz w:val="18"/>
          <w:szCs w:val="18"/>
        </w:rPr>
        <w:t>tot uitdrukking brengen.</w:t>
      </w:r>
    </w:p>
    <w:p w14:paraId="398F3F7E" w14:textId="77777777" w:rsidR="001F0E20" w:rsidRPr="001F0E20" w:rsidRDefault="001F0E20" w:rsidP="001F0E20">
      <w:pPr>
        <w:pStyle w:val="ListParagraph"/>
        <w:ind w:left="360"/>
        <w:jc w:val="both"/>
        <w:rPr>
          <w:rFonts w:ascii="Arial" w:hAnsi="Arial" w:cs="Arial"/>
          <w:sz w:val="18"/>
          <w:szCs w:val="18"/>
        </w:rPr>
      </w:pPr>
      <w:r w:rsidRPr="001F0E20">
        <w:rPr>
          <w:rFonts w:ascii="Arial" w:hAnsi="Arial" w:cs="Arial"/>
          <w:sz w:val="18"/>
          <w:szCs w:val="18"/>
        </w:rPr>
        <w:t xml:space="preserve"> </w:t>
      </w:r>
    </w:p>
    <w:p w14:paraId="478388CF" w14:textId="4A2E829C" w:rsidR="001F0E20" w:rsidRPr="001F0E20" w:rsidRDefault="001F0E20" w:rsidP="000D1534">
      <w:pPr>
        <w:pStyle w:val="ListParagraph"/>
        <w:numPr>
          <w:ilvl w:val="0"/>
          <w:numId w:val="21"/>
        </w:numPr>
        <w:jc w:val="both"/>
        <w:rPr>
          <w:rFonts w:ascii="Arial" w:hAnsi="Arial" w:cs="Arial"/>
          <w:sz w:val="18"/>
          <w:szCs w:val="18"/>
        </w:rPr>
      </w:pPr>
      <w:r w:rsidRPr="000D1534">
        <w:rPr>
          <w:rFonts w:ascii="Arial" w:hAnsi="Arial" w:cs="Arial"/>
          <w:b/>
          <w:bCs/>
          <w:sz w:val="18"/>
          <w:szCs w:val="18"/>
        </w:rPr>
        <w:t>Cluster 2</w:t>
      </w:r>
      <w:r w:rsidRPr="001F0E20">
        <w:rPr>
          <w:rFonts w:ascii="Arial" w:hAnsi="Arial" w:cs="Arial"/>
          <w:sz w:val="18"/>
          <w:szCs w:val="18"/>
        </w:rPr>
        <w:t>: 3° rapportering over de begrotingsuitvoering</w:t>
      </w:r>
      <w:r w:rsidR="003E5646">
        <w:rPr>
          <w:rFonts w:ascii="Arial" w:hAnsi="Arial" w:cs="Arial"/>
          <w:sz w:val="18"/>
          <w:szCs w:val="18"/>
        </w:rPr>
        <w:t xml:space="preserve"> (</w:t>
      </w:r>
      <w:r w:rsidR="003E5646" w:rsidRPr="000D1534">
        <w:rPr>
          <w:rFonts w:ascii="Arial" w:hAnsi="Arial" w:cs="Arial"/>
          <w:i/>
          <w:iCs/>
          <w:sz w:val="18"/>
          <w:szCs w:val="18"/>
        </w:rPr>
        <w:t>cf</w:t>
      </w:r>
      <w:r w:rsidR="003E5646">
        <w:rPr>
          <w:rFonts w:ascii="Arial" w:hAnsi="Arial" w:cs="Arial"/>
          <w:sz w:val="18"/>
          <w:szCs w:val="18"/>
        </w:rPr>
        <w:t>. art. 42, § 1, 3° VCO)</w:t>
      </w:r>
    </w:p>
    <w:p w14:paraId="0C6BD349" w14:textId="77777777" w:rsidR="001F0E20" w:rsidRDefault="001F0E20" w:rsidP="001F0E20">
      <w:pPr>
        <w:pStyle w:val="ListParagraph"/>
        <w:ind w:left="360"/>
        <w:jc w:val="both"/>
        <w:rPr>
          <w:rFonts w:ascii="Arial" w:hAnsi="Arial" w:cs="Arial"/>
          <w:sz w:val="18"/>
          <w:szCs w:val="18"/>
        </w:rPr>
      </w:pPr>
    </w:p>
    <w:p w14:paraId="1D2B3B12" w14:textId="50ED678B" w:rsidR="005846DB" w:rsidRDefault="001F0E20" w:rsidP="002C2C27">
      <w:pPr>
        <w:pStyle w:val="ListParagraph"/>
        <w:ind w:left="360"/>
        <w:jc w:val="both"/>
        <w:rPr>
          <w:rFonts w:ascii="Arial" w:hAnsi="Arial" w:cs="Arial"/>
          <w:sz w:val="18"/>
          <w:szCs w:val="18"/>
        </w:rPr>
      </w:pPr>
      <w:r w:rsidRPr="001F0E20">
        <w:rPr>
          <w:rFonts w:ascii="Arial" w:hAnsi="Arial" w:cs="Arial"/>
          <w:sz w:val="18"/>
          <w:szCs w:val="18"/>
        </w:rPr>
        <w:t>Dit betreft een rapportering waarop</w:t>
      </w:r>
      <w:r w:rsidR="00B17A8D">
        <w:rPr>
          <w:rFonts w:ascii="Arial" w:hAnsi="Arial" w:cs="Arial"/>
          <w:sz w:val="18"/>
          <w:szCs w:val="18"/>
        </w:rPr>
        <w:t xml:space="preserve"> de internationale auditstandaard</w:t>
      </w:r>
      <w:r w:rsidRPr="001F0E20">
        <w:rPr>
          <w:rFonts w:ascii="Arial" w:hAnsi="Arial" w:cs="Arial"/>
          <w:sz w:val="18"/>
          <w:szCs w:val="18"/>
        </w:rPr>
        <w:t xml:space="preserve"> ISA 800 van toepassing is. </w:t>
      </w:r>
      <w:r w:rsidR="002C2C27">
        <w:rPr>
          <w:rFonts w:ascii="Arial" w:hAnsi="Arial" w:cs="Arial"/>
          <w:sz w:val="18"/>
          <w:szCs w:val="18"/>
        </w:rPr>
        <w:t xml:space="preserve">ISA 800 impliceert een </w:t>
      </w:r>
      <w:r w:rsidR="00ED4186">
        <w:rPr>
          <w:rFonts w:ascii="Arial" w:hAnsi="Arial" w:cs="Arial"/>
          <w:sz w:val="18"/>
          <w:szCs w:val="18"/>
        </w:rPr>
        <w:t>controle</w:t>
      </w:r>
      <w:r w:rsidR="002C2C27">
        <w:rPr>
          <w:rFonts w:ascii="Arial" w:hAnsi="Arial" w:cs="Arial"/>
          <w:sz w:val="18"/>
          <w:szCs w:val="18"/>
        </w:rPr>
        <w:t xml:space="preserve"> van informatie zoals gedefinieerd in paragraaf 1 van deze internationale standaard, met name</w:t>
      </w:r>
      <w:r w:rsidR="002C2C27" w:rsidRPr="002C2C27">
        <w:rPr>
          <w:rFonts w:ascii="Arial" w:hAnsi="Arial" w:cs="Arial"/>
          <w:sz w:val="18"/>
          <w:szCs w:val="18"/>
        </w:rPr>
        <w:t xml:space="preserve"> financiële overzichten die zijn opgesteld in overeenstemming met een stelsel</w:t>
      </w:r>
      <w:r w:rsidR="002C2C27">
        <w:rPr>
          <w:rFonts w:ascii="Arial" w:hAnsi="Arial" w:cs="Arial"/>
          <w:sz w:val="18"/>
          <w:szCs w:val="18"/>
        </w:rPr>
        <w:t xml:space="preserve"> </w:t>
      </w:r>
      <w:r w:rsidR="002C2C27" w:rsidRPr="000D1534">
        <w:rPr>
          <w:rFonts w:ascii="Arial" w:hAnsi="Arial" w:cs="Arial"/>
          <w:sz w:val="18"/>
          <w:szCs w:val="18"/>
        </w:rPr>
        <w:t>voor bijzondere doeleinden</w:t>
      </w:r>
      <w:r w:rsidR="002C2C27">
        <w:rPr>
          <w:rFonts w:ascii="Arial" w:hAnsi="Arial" w:cs="Arial"/>
          <w:sz w:val="18"/>
          <w:szCs w:val="18"/>
        </w:rPr>
        <w:t xml:space="preserve">, in voorkomend geval de begrotingsregels vervat in </w:t>
      </w:r>
      <w:r w:rsidR="00603413">
        <w:rPr>
          <w:rFonts w:ascii="Arial" w:hAnsi="Arial" w:cs="Arial"/>
          <w:sz w:val="18"/>
          <w:szCs w:val="18"/>
        </w:rPr>
        <w:t>de</w:t>
      </w:r>
      <w:r w:rsidR="002C2C27">
        <w:rPr>
          <w:rFonts w:ascii="Arial" w:hAnsi="Arial" w:cs="Arial"/>
          <w:sz w:val="18"/>
          <w:szCs w:val="18"/>
        </w:rPr>
        <w:t xml:space="preserve"> VCO en het BVCO</w:t>
      </w:r>
      <w:r w:rsidR="00D81D92">
        <w:rPr>
          <w:rFonts w:ascii="Arial" w:hAnsi="Arial" w:cs="Arial"/>
          <w:sz w:val="18"/>
          <w:szCs w:val="18"/>
        </w:rPr>
        <w:t xml:space="preserve"> van 17 mei 2019</w:t>
      </w:r>
      <w:r w:rsidR="002C2C27" w:rsidRPr="000D1534">
        <w:rPr>
          <w:rFonts w:ascii="Arial" w:hAnsi="Arial" w:cs="Arial"/>
          <w:sz w:val="18"/>
          <w:szCs w:val="18"/>
        </w:rPr>
        <w:t>.</w:t>
      </w:r>
    </w:p>
    <w:p w14:paraId="303C1914" w14:textId="0C9AE32B" w:rsidR="005131B5" w:rsidRDefault="005131B5" w:rsidP="002C2C27">
      <w:pPr>
        <w:pStyle w:val="ListParagraph"/>
        <w:ind w:left="360"/>
        <w:jc w:val="both"/>
        <w:rPr>
          <w:rFonts w:ascii="Arial" w:hAnsi="Arial" w:cs="Arial"/>
          <w:sz w:val="18"/>
          <w:szCs w:val="18"/>
        </w:rPr>
      </w:pPr>
    </w:p>
    <w:p w14:paraId="66400B09" w14:textId="77777777" w:rsidR="005131B5" w:rsidRPr="005131B5" w:rsidRDefault="005131B5" w:rsidP="005131B5">
      <w:pPr>
        <w:pStyle w:val="ListParagraph"/>
        <w:spacing w:after="0" w:line="240" w:lineRule="auto"/>
        <w:ind w:left="357"/>
        <w:contextualSpacing w:val="0"/>
        <w:jc w:val="both"/>
        <w:rPr>
          <w:rFonts w:ascii="Arial" w:hAnsi="Arial" w:cs="Arial"/>
          <w:sz w:val="18"/>
          <w:szCs w:val="18"/>
        </w:rPr>
      </w:pPr>
      <w:r>
        <w:rPr>
          <w:rFonts w:ascii="Arial" w:hAnsi="Arial" w:cs="Arial"/>
          <w:sz w:val="18"/>
          <w:szCs w:val="18"/>
        </w:rPr>
        <w:t xml:space="preserve">De bedrijfsrevisor zal in zijn controleverklaring </w:t>
      </w:r>
      <w:r w:rsidRPr="005131B5">
        <w:rPr>
          <w:rFonts w:ascii="Arial" w:hAnsi="Arial" w:cs="Arial"/>
          <w:sz w:val="18"/>
          <w:szCs w:val="18"/>
        </w:rPr>
        <w:t xml:space="preserve">een conclusie met een redelijke mate van zekerheid </w:t>
      </w:r>
      <w:r>
        <w:rPr>
          <w:rFonts w:ascii="Arial" w:hAnsi="Arial" w:cs="Arial"/>
          <w:sz w:val="18"/>
          <w:szCs w:val="18"/>
        </w:rPr>
        <w:t>tot uitdrukking brengen.</w:t>
      </w:r>
    </w:p>
    <w:p w14:paraId="41F43C86" w14:textId="77777777" w:rsidR="005131B5" w:rsidRDefault="005131B5" w:rsidP="005131B5">
      <w:pPr>
        <w:pStyle w:val="ListParagraph"/>
        <w:spacing w:after="0" w:line="240" w:lineRule="auto"/>
        <w:ind w:left="357"/>
        <w:contextualSpacing w:val="0"/>
        <w:jc w:val="both"/>
        <w:rPr>
          <w:rFonts w:ascii="Arial" w:hAnsi="Arial" w:cs="Arial"/>
          <w:sz w:val="18"/>
          <w:szCs w:val="18"/>
        </w:rPr>
      </w:pPr>
    </w:p>
    <w:p w14:paraId="2D09A65D" w14:textId="51C2BBDE" w:rsidR="005131B5" w:rsidRPr="000D1534" w:rsidRDefault="005131B5" w:rsidP="005131B5">
      <w:pPr>
        <w:pStyle w:val="ListParagraph"/>
        <w:ind w:left="360"/>
        <w:jc w:val="both"/>
        <w:rPr>
          <w:rFonts w:ascii="Arial" w:hAnsi="Arial" w:cs="Arial"/>
          <w:sz w:val="18"/>
          <w:szCs w:val="18"/>
        </w:rPr>
      </w:pPr>
      <w:r w:rsidRPr="001F0E20">
        <w:rPr>
          <w:rFonts w:ascii="Arial" w:hAnsi="Arial" w:cs="Arial"/>
          <w:sz w:val="18"/>
          <w:szCs w:val="18"/>
        </w:rPr>
        <w:t>De controleverklaring volgt bij voorkeur de voorbeeldverklaring gevoegd in bijlage bij ISA 800.</w:t>
      </w:r>
    </w:p>
    <w:p w14:paraId="7305209F" w14:textId="77777777" w:rsidR="002C2C27" w:rsidRDefault="002C2C27" w:rsidP="001F0E20">
      <w:pPr>
        <w:pStyle w:val="ListParagraph"/>
        <w:ind w:left="360"/>
        <w:jc w:val="both"/>
        <w:rPr>
          <w:rFonts w:ascii="Arial" w:hAnsi="Arial" w:cs="Arial"/>
          <w:sz w:val="18"/>
          <w:szCs w:val="18"/>
        </w:rPr>
      </w:pPr>
    </w:p>
    <w:p w14:paraId="6751D1A9" w14:textId="35A2E20D" w:rsidR="001F0E20" w:rsidRPr="0051544D" w:rsidRDefault="001F0E20" w:rsidP="000D1534">
      <w:pPr>
        <w:pStyle w:val="ListParagraph"/>
        <w:numPr>
          <w:ilvl w:val="0"/>
          <w:numId w:val="21"/>
        </w:numPr>
        <w:jc w:val="both"/>
        <w:rPr>
          <w:rFonts w:ascii="Arial" w:hAnsi="Arial" w:cs="Arial"/>
          <w:sz w:val="18"/>
          <w:szCs w:val="18"/>
        </w:rPr>
      </w:pPr>
      <w:r w:rsidRPr="000D1534">
        <w:rPr>
          <w:rFonts w:ascii="Arial" w:hAnsi="Arial" w:cs="Arial"/>
          <w:b/>
          <w:bCs/>
          <w:sz w:val="18"/>
          <w:szCs w:val="18"/>
        </w:rPr>
        <w:t>Cluster 3</w:t>
      </w:r>
      <w:r w:rsidRPr="0088090F">
        <w:rPr>
          <w:rFonts w:ascii="Arial" w:hAnsi="Arial" w:cs="Arial"/>
          <w:sz w:val="18"/>
          <w:szCs w:val="18"/>
        </w:rPr>
        <w:t>: 5° ESR</w:t>
      </w:r>
      <w:r w:rsidR="00493220" w:rsidRPr="000D1534">
        <w:rPr>
          <w:rFonts w:ascii="Arial" w:hAnsi="Arial" w:cs="Arial"/>
          <w:sz w:val="18"/>
          <w:szCs w:val="18"/>
        </w:rPr>
        <w:t>-r</w:t>
      </w:r>
      <w:r w:rsidRPr="0088090F">
        <w:rPr>
          <w:rFonts w:ascii="Arial" w:hAnsi="Arial" w:cs="Arial"/>
          <w:sz w:val="18"/>
          <w:szCs w:val="18"/>
        </w:rPr>
        <w:t>apportering</w:t>
      </w:r>
      <w:r w:rsidR="003E5646" w:rsidRPr="0088090F">
        <w:rPr>
          <w:rFonts w:ascii="Arial" w:hAnsi="Arial" w:cs="Arial"/>
          <w:sz w:val="18"/>
          <w:szCs w:val="18"/>
        </w:rPr>
        <w:t xml:space="preserve"> (</w:t>
      </w:r>
      <w:r w:rsidR="003E5646" w:rsidRPr="000D1534">
        <w:rPr>
          <w:rFonts w:ascii="Arial" w:hAnsi="Arial" w:cs="Arial"/>
          <w:i/>
          <w:iCs/>
          <w:sz w:val="18"/>
          <w:szCs w:val="18"/>
        </w:rPr>
        <w:t>cf</w:t>
      </w:r>
      <w:r w:rsidR="003E5646" w:rsidRPr="0088090F">
        <w:rPr>
          <w:rFonts w:ascii="Arial" w:hAnsi="Arial" w:cs="Arial"/>
          <w:sz w:val="18"/>
          <w:szCs w:val="18"/>
        </w:rPr>
        <w:t>. a</w:t>
      </w:r>
      <w:r w:rsidR="003E5646" w:rsidRPr="000D1534">
        <w:rPr>
          <w:rFonts w:ascii="Arial" w:hAnsi="Arial" w:cs="Arial"/>
          <w:sz w:val="18"/>
          <w:szCs w:val="18"/>
        </w:rPr>
        <w:t>rt. 42, § 1, 5° VCO</w:t>
      </w:r>
      <w:r w:rsidR="00105B18" w:rsidRPr="000D1534">
        <w:rPr>
          <w:rFonts w:ascii="Arial" w:hAnsi="Arial" w:cs="Arial"/>
          <w:sz w:val="18"/>
          <w:szCs w:val="18"/>
        </w:rPr>
        <w:t>; art. 60</w:t>
      </w:r>
      <w:r w:rsidR="0088090F" w:rsidRPr="000D1534">
        <w:rPr>
          <w:rFonts w:ascii="Arial" w:hAnsi="Arial" w:cs="Arial"/>
          <w:sz w:val="18"/>
          <w:szCs w:val="18"/>
        </w:rPr>
        <w:t>, tweede lid, 1° en 2° BVCO</w:t>
      </w:r>
      <w:r w:rsidR="00AB234E" w:rsidRPr="0051544D">
        <w:rPr>
          <w:rFonts w:ascii="Arial" w:hAnsi="Arial" w:cs="Arial"/>
          <w:sz w:val="18"/>
          <w:szCs w:val="18"/>
        </w:rPr>
        <w:t xml:space="preserve"> </w:t>
      </w:r>
      <w:r w:rsidR="00AB234E" w:rsidRPr="00B1317F">
        <w:rPr>
          <w:rFonts w:ascii="Arial" w:hAnsi="Arial" w:cs="Arial"/>
          <w:sz w:val="18"/>
          <w:szCs w:val="18"/>
        </w:rPr>
        <w:t>17 mei 2019</w:t>
      </w:r>
      <w:r w:rsidR="003E5646" w:rsidRPr="000D1534">
        <w:rPr>
          <w:rFonts w:ascii="Arial" w:hAnsi="Arial" w:cs="Arial"/>
          <w:sz w:val="18"/>
          <w:szCs w:val="18"/>
        </w:rPr>
        <w:t>)</w:t>
      </w:r>
    </w:p>
    <w:p w14:paraId="02DD1E64" w14:textId="77777777" w:rsidR="001F0E20" w:rsidRPr="0088090F" w:rsidRDefault="001F0E20" w:rsidP="000D1534">
      <w:pPr>
        <w:pStyle w:val="ListParagraph"/>
        <w:ind w:left="357"/>
        <w:jc w:val="both"/>
        <w:rPr>
          <w:rFonts w:ascii="Arial" w:hAnsi="Arial" w:cs="Arial"/>
          <w:sz w:val="18"/>
          <w:szCs w:val="18"/>
        </w:rPr>
      </w:pPr>
    </w:p>
    <w:p w14:paraId="4D090641" w14:textId="25B3F2B1" w:rsidR="00B7444F" w:rsidRPr="000D1534" w:rsidRDefault="001F0E20" w:rsidP="000D1534">
      <w:pPr>
        <w:pStyle w:val="ListParagraph"/>
        <w:spacing w:after="0" w:line="240" w:lineRule="auto"/>
        <w:ind w:left="357"/>
        <w:jc w:val="both"/>
        <w:rPr>
          <w:rFonts w:ascii="Arial" w:hAnsi="Arial" w:cs="Arial"/>
          <w:sz w:val="18"/>
          <w:szCs w:val="18"/>
        </w:rPr>
      </w:pPr>
      <w:r w:rsidRPr="001F0E20">
        <w:rPr>
          <w:rFonts w:ascii="Arial" w:hAnsi="Arial" w:cs="Arial"/>
          <w:sz w:val="18"/>
          <w:szCs w:val="18"/>
        </w:rPr>
        <w:t>Dit betreft</w:t>
      </w:r>
      <w:r>
        <w:rPr>
          <w:rFonts w:ascii="Arial" w:hAnsi="Arial" w:cs="Arial"/>
          <w:sz w:val="18"/>
          <w:szCs w:val="18"/>
        </w:rPr>
        <w:t xml:space="preserve"> </w:t>
      </w:r>
      <w:r w:rsidRPr="001F0E20">
        <w:rPr>
          <w:rFonts w:ascii="Arial" w:hAnsi="Arial" w:cs="Arial"/>
          <w:sz w:val="18"/>
          <w:szCs w:val="18"/>
        </w:rPr>
        <w:t>een rapportering waarop</w:t>
      </w:r>
      <w:r w:rsidR="00B17A8D">
        <w:rPr>
          <w:rFonts w:ascii="Arial" w:hAnsi="Arial" w:cs="Arial"/>
          <w:sz w:val="18"/>
          <w:szCs w:val="18"/>
        </w:rPr>
        <w:t xml:space="preserve"> de internationale auditstandaard</w:t>
      </w:r>
      <w:r w:rsidRPr="001F0E20">
        <w:rPr>
          <w:rFonts w:ascii="Arial" w:hAnsi="Arial" w:cs="Arial"/>
          <w:sz w:val="18"/>
          <w:szCs w:val="18"/>
        </w:rPr>
        <w:t xml:space="preserve"> ISA 800 van toepassing is</w:t>
      </w:r>
      <w:r w:rsidR="00B7444F">
        <w:rPr>
          <w:rFonts w:ascii="Arial" w:hAnsi="Arial" w:cs="Arial"/>
          <w:sz w:val="18"/>
          <w:szCs w:val="18"/>
        </w:rPr>
        <w:t xml:space="preserve">, aangezien deze ISA speciale </w:t>
      </w:r>
      <w:r w:rsidR="00B7444F" w:rsidRPr="00B7444F">
        <w:rPr>
          <w:rFonts w:ascii="Arial" w:hAnsi="Arial" w:cs="Arial"/>
          <w:sz w:val="18"/>
          <w:szCs w:val="18"/>
        </w:rPr>
        <w:t>overwegingen behandelt bij een controle van financiële overzichten</w:t>
      </w:r>
      <w:r w:rsidR="00B7444F">
        <w:rPr>
          <w:rFonts w:ascii="Arial" w:hAnsi="Arial" w:cs="Arial"/>
          <w:sz w:val="18"/>
          <w:szCs w:val="18"/>
        </w:rPr>
        <w:t xml:space="preserve"> </w:t>
      </w:r>
      <w:r w:rsidR="00B7444F" w:rsidRPr="000D1534">
        <w:rPr>
          <w:rFonts w:ascii="Arial" w:hAnsi="Arial" w:cs="Arial"/>
          <w:sz w:val="18"/>
          <w:szCs w:val="18"/>
        </w:rPr>
        <w:t>die zijn opgesteld in overeenstemming met een stelsel voor bijzondere doeleinden</w:t>
      </w:r>
      <w:r w:rsidR="00B7444F">
        <w:rPr>
          <w:rFonts w:ascii="Arial" w:hAnsi="Arial" w:cs="Arial"/>
          <w:sz w:val="18"/>
          <w:szCs w:val="18"/>
        </w:rPr>
        <w:t xml:space="preserve">. </w:t>
      </w:r>
      <w:r w:rsidR="00B7444F" w:rsidRPr="000D1534">
        <w:rPr>
          <w:rFonts w:ascii="Arial" w:hAnsi="Arial" w:cs="Arial"/>
          <w:sz w:val="18"/>
          <w:szCs w:val="18"/>
        </w:rPr>
        <w:t xml:space="preserve">De financiële overzichten </w:t>
      </w:r>
      <w:r w:rsidR="00B7444F" w:rsidRPr="000D1534">
        <w:rPr>
          <w:rFonts w:ascii="Arial" w:hAnsi="Arial" w:cs="Arial"/>
          <w:i/>
          <w:iCs/>
          <w:sz w:val="18"/>
          <w:szCs w:val="18"/>
        </w:rPr>
        <w:t>in casu</w:t>
      </w:r>
      <w:r w:rsidR="00B7444F" w:rsidRPr="000D1534">
        <w:rPr>
          <w:rFonts w:ascii="Arial" w:hAnsi="Arial" w:cs="Arial"/>
          <w:sz w:val="18"/>
          <w:szCs w:val="18"/>
        </w:rPr>
        <w:t xml:space="preserve"> zijn opgesteld in toepassing van het </w:t>
      </w:r>
      <w:r w:rsidR="00B7444F">
        <w:rPr>
          <w:rFonts w:ascii="Arial" w:hAnsi="Arial" w:cs="Arial"/>
          <w:sz w:val="18"/>
          <w:szCs w:val="18"/>
        </w:rPr>
        <w:t xml:space="preserve">Europees Systeem van Nationale en Regionale Rekeningen 2010 (ESR 2010), </w:t>
      </w:r>
      <w:r w:rsidR="00B7444F" w:rsidRPr="00B7444F">
        <w:rPr>
          <w:rFonts w:ascii="Arial" w:hAnsi="Arial" w:cs="Arial"/>
          <w:sz w:val="18"/>
          <w:szCs w:val="18"/>
        </w:rPr>
        <w:t>dat inderdaad kan worden gezien als een stelsel voor bijzondere doeleinden</w:t>
      </w:r>
      <w:r w:rsidR="00B7444F">
        <w:rPr>
          <w:rStyle w:val="FootnoteReference"/>
          <w:rFonts w:ascii="Arial" w:hAnsi="Arial" w:cs="Arial"/>
          <w:sz w:val="18"/>
          <w:szCs w:val="18"/>
        </w:rPr>
        <w:footnoteReference w:id="2"/>
      </w:r>
      <w:r w:rsidR="00B7444F" w:rsidRPr="00B7444F">
        <w:rPr>
          <w:rFonts w:ascii="Arial" w:hAnsi="Arial" w:cs="Arial"/>
          <w:sz w:val="18"/>
          <w:szCs w:val="18"/>
        </w:rPr>
        <w:t xml:space="preserve">. </w:t>
      </w:r>
    </w:p>
    <w:p w14:paraId="7D714B02" w14:textId="7E577CCA" w:rsidR="0088090F" w:rsidRDefault="0088090F" w:rsidP="005846DB">
      <w:pPr>
        <w:pStyle w:val="ListParagraph"/>
        <w:spacing w:after="0" w:line="240" w:lineRule="auto"/>
        <w:ind w:left="357"/>
        <w:contextualSpacing w:val="0"/>
        <w:jc w:val="both"/>
        <w:rPr>
          <w:rFonts w:ascii="Arial" w:hAnsi="Arial" w:cs="Arial"/>
          <w:sz w:val="18"/>
          <w:szCs w:val="18"/>
        </w:rPr>
      </w:pPr>
    </w:p>
    <w:p w14:paraId="7D5B5554" w14:textId="575EE460" w:rsidR="0088090F" w:rsidRDefault="0088090F" w:rsidP="005846DB">
      <w:pPr>
        <w:pStyle w:val="ListParagraph"/>
        <w:spacing w:after="0" w:line="240" w:lineRule="auto"/>
        <w:ind w:left="357"/>
        <w:contextualSpacing w:val="0"/>
        <w:jc w:val="both"/>
        <w:rPr>
          <w:rFonts w:ascii="Arial" w:hAnsi="Arial" w:cs="Arial"/>
          <w:sz w:val="18"/>
          <w:szCs w:val="18"/>
        </w:rPr>
      </w:pPr>
      <w:r>
        <w:rPr>
          <w:rFonts w:ascii="Arial" w:hAnsi="Arial" w:cs="Arial"/>
          <w:sz w:val="18"/>
          <w:szCs w:val="18"/>
        </w:rPr>
        <w:t>De controle van en verslaggeving over de jaarlijkse ESR-rapportering  heeft betrekking op:</w:t>
      </w:r>
    </w:p>
    <w:p w14:paraId="6E6C1475" w14:textId="4359C7B0" w:rsidR="0088090F" w:rsidRDefault="0088090F" w:rsidP="005846DB">
      <w:pPr>
        <w:pStyle w:val="ListParagraph"/>
        <w:spacing w:after="0" w:line="240" w:lineRule="auto"/>
        <w:ind w:left="357"/>
        <w:contextualSpacing w:val="0"/>
        <w:jc w:val="both"/>
        <w:rPr>
          <w:rFonts w:ascii="Arial" w:hAnsi="Arial" w:cs="Arial"/>
          <w:sz w:val="18"/>
          <w:szCs w:val="18"/>
        </w:rPr>
      </w:pPr>
    </w:p>
    <w:p w14:paraId="2C0FDF38" w14:textId="77777777" w:rsidR="0088090F" w:rsidRPr="0088090F" w:rsidRDefault="0088090F" w:rsidP="0088090F">
      <w:pPr>
        <w:pStyle w:val="ListParagraph"/>
        <w:spacing w:after="0" w:line="240" w:lineRule="auto"/>
        <w:ind w:left="357"/>
        <w:jc w:val="both"/>
        <w:rPr>
          <w:rFonts w:ascii="Arial" w:hAnsi="Arial" w:cs="Arial"/>
          <w:sz w:val="18"/>
          <w:szCs w:val="18"/>
        </w:rPr>
      </w:pPr>
      <w:r w:rsidRPr="0088090F">
        <w:rPr>
          <w:rFonts w:ascii="Arial" w:hAnsi="Arial" w:cs="Arial"/>
          <w:sz w:val="18"/>
          <w:szCs w:val="18"/>
        </w:rPr>
        <w:t>(1) de organisatie van de productie van deze ESR-rapportering;</w:t>
      </w:r>
    </w:p>
    <w:p w14:paraId="77F32036" w14:textId="77777777" w:rsidR="0088090F" w:rsidRPr="0088090F" w:rsidRDefault="0088090F" w:rsidP="0088090F">
      <w:pPr>
        <w:pStyle w:val="ListParagraph"/>
        <w:spacing w:after="0" w:line="240" w:lineRule="auto"/>
        <w:ind w:left="357"/>
        <w:jc w:val="both"/>
        <w:rPr>
          <w:rFonts w:ascii="Arial" w:hAnsi="Arial" w:cs="Arial"/>
          <w:sz w:val="18"/>
          <w:szCs w:val="18"/>
        </w:rPr>
      </w:pPr>
      <w:r w:rsidRPr="0088090F">
        <w:rPr>
          <w:rFonts w:ascii="Arial" w:hAnsi="Arial" w:cs="Arial"/>
          <w:sz w:val="18"/>
          <w:szCs w:val="18"/>
        </w:rPr>
        <w:t>(2) de al dan niet correcte toepassing van de ESR-regels; en</w:t>
      </w:r>
    </w:p>
    <w:p w14:paraId="664E7617" w14:textId="0AA1187F" w:rsidR="0088090F" w:rsidRDefault="0088090F" w:rsidP="0088090F">
      <w:pPr>
        <w:pStyle w:val="ListParagraph"/>
        <w:spacing w:after="0" w:line="240" w:lineRule="auto"/>
        <w:ind w:left="357"/>
        <w:contextualSpacing w:val="0"/>
        <w:jc w:val="both"/>
        <w:rPr>
          <w:rFonts w:ascii="Arial" w:hAnsi="Arial" w:cs="Arial"/>
          <w:sz w:val="18"/>
          <w:szCs w:val="18"/>
        </w:rPr>
      </w:pPr>
      <w:r w:rsidRPr="0088090F">
        <w:rPr>
          <w:rFonts w:ascii="Arial" w:hAnsi="Arial" w:cs="Arial"/>
          <w:sz w:val="18"/>
          <w:szCs w:val="18"/>
        </w:rPr>
        <w:t>(3) de reconciliatie (aansluiting) van de ESR-rapportering met de algemene boekhouding.</w:t>
      </w:r>
    </w:p>
    <w:p w14:paraId="61357329" w14:textId="5A8FE07B" w:rsidR="0088090F" w:rsidRDefault="0088090F" w:rsidP="0088090F">
      <w:pPr>
        <w:pStyle w:val="ListParagraph"/>
        <w:spacing w:after="0" w:line="240" w:lineRule="auto"/>
        <w:ind w:left="357"/>
        <w:contextualSpacing w:val="0"/>
        <w:jc w:val="both"/>
        <w:rPr>
          <w:rFonts w:ascii="Arial" w:hAnsi="Arial" w:cs="Arial"/>
          <w:sz w:val="18"/>
          <w:szCs w:val="18"/>
        </w:rPr>
      </w:pPr>
    </w:p>
    <w:p w14:paraId="132F1171" w14:textId="77777777" w:rsidR="0088090F" w:rsidRPr="0088090F" w:rsidRDefault="0088090F" w:rsidP="0088090F">
      <w:pPr>
        <w:pStyle w:val="ListParagraph"/>
        <w:spacing w:after="0" w:line="240" w:lineRule="auto"/>
        <w:ind w:left="357"/>
        <w:jc w:val="both"/>
        <w:rPr>
          <w:rFonts w:ascii="Arial" w:hAnsi="Arial" w:cs="Arial"/>
          <w:sz w:val="18"/>
          <w:szCs w:val="18"/>
        </w:rPr>
      </w:pPr>
      <w:r w:rsidRPr="0088090F">
        <w:rPr>
          <w:rFonts w:ascii="Arial" w:hAnsi="Arial" w:cs="Arial"/>
          <w:sz w:val="18"/>
          <w:szCs w:val="18"/>
        </w:rPr>
        <w:t>In ieder geval dient de bedrijfsrevisor in zijn verslag te vermelden of:</w:t>
      </w:r>
    </w:p>
    <w:p w14:paraId="0FBCC6EA" w14:textId="4205219C" w:rsidR="0088090F" w:rsidRPr="0088090F" w:rsidRDefault="0088090F" w:rsidP="000D1534">
      <w:pPr>
        <w:pStyle w:val="ListParagraph"/>
        <w:numPr>
          <w:ilvl w:val="0"/>
          <w:numId w:val="24"/>
        </w:numPr>
        <w:spacing w:after="0" w:line="240" w:lineRule="auto"/>
        <w:jc w:val="both"/>
        <w:rPr>
          <w:rFonts w:ascii="Arial" w:hAnsi="Arial" w:cs="Arial"/>
          <w:sz w:val="18"/>
          <w:szCs w:val="18"/>
        </w:rPr>
      </w:pPr>
      <w:r w:rsidRPr="0088090F">
        <w:rPr>
          <w:rFonts w:ascii="Arial" w:hAnsi="Arial" w:cs="Arial"/>
          <w:sz w:val="18"/>
          <w:szCs w:val="18"/>
        </w:rPr>
        <w:t>de rapportering al dan niet werd opgesteld in overeenstemming met de ESR-regels;</w:t>
      </w:r>
    </w:p>
    <w:p w14:paraId="05619773" w14:textId="59E74512" w:rsidR="0088090F" w:rsidRPr="000D1534" w:rsidRDefault="0088090F" w:rsidP="000D1534">
      <w:pPr>
        <w:pStyle w:val="ListParagraph"/>
        <w:numPr>
          <w:ilvl w:val="0"/>
          <w:numId w:val="24"/>
        </w:numPr>
        <w:spacing w:after="0" w:line="240" w:lineRule="auto"/>
        <w:jc w:val="both"/>
        <w:rPr>
          <w:rFonts w:ascii="Arial" w:hAnsi="Arial" w:cs="Arial"/>
          <w:sz w:val="18"/>
          <w:szCs w:val="18"/>
        </w:rPr>
      </w:pPr>
      <w:r w:rsidRPr="0088090F">
        <w:rPr>
          <w:rFonts w:ascii="Arial" w:hAnsi="Arial" w:cs="Arial"/>
          <w:sz w:val="18"/>
          <w:szCs w:val="18"/>
        </w:rPr>
        <w:t>de ESR -rapportering aansluit op de algemene boekhouding (de nodige ESR-</w:t>
      </w:r>
      <w:r w:rsidRPr="000D1534">
        <w:rPr>
          <w:rFonts w:ascii="Arial" w:hAnsi="Arial" w:cs="Arial"/>
          <w:sz w:val="18"/>
          <w:szCs w:val="18"/>
        </w:rPr>
        <w:t>herwerkingen correct werden doorgevoerd en gerapporteerd in de reconciliatie); en</w:t>
      </w:r>
    </w:p>
    <w:p w14:paraId="5CA3C0CC" w14:textId="11E0B7F1" w:rsidR="0088090F" w:rsidRPr="000D1534" w:rsidRDefault="0088090F" w:rsidP="000D1534">
      <w:pPr>
        <w:pStyle w:val="ListParagraph"/>
        <w:numPr>
          <w:ilvl w:val="0"/>
          <w:numId w:val="24"/>
        </w:numPr>
        <w:spacing w:after="0" w:line="240" w:lineRule="auto"/>
        <w:jc w:val="both"/>
        <w:rPr>
          <w:rFonts w:ascii="Arial" w:hAnsi="Arial" w:cs="Arial"/>
          <w:sz w:val="18"/>
          <w:szCs w:val="18"/>
        </w:rPr>
      </w:pPr>
      <w:r w:rsidRPr="0088090F">
        <w:rPr>
          <w:rFonts w:ascii="Arial" w:hAnsi="Arial" w:cs="Arial"/>
          <w:sz w:val="18"/>
          <w:szCs w:val="18"/>
        </w:rPr>
        <w:t>de aansluiting tussen de rekeningen en de ESR-rapportering al dan niet op een</w:t>
      </w:r>
      <w:r>
        <w:rPr>
          <w:rFonts w:ascii="Arial" w:hAnsi="Arial" w:cs="Arial"/>
          <w:sz w:val="18"/>
          <w:szCs w:val="18"/>
        </w:rPr>
        <w:t xml:space="preserve"> </w:t>
      </w:r>
      <w:r w:rsidRPr="000D1534">
        <w:rPr>
          <w:rFonts w:ascii="Arial" w:hAnsi="Arial" w:cs="Arial"/>
          <w:sz w:val="18"/>
          <w:szCs w:val="18"/>
        </w:rPr>
        <w:t>consistente wijze werd toegepast</w:t>
      </w:r>
      <w:r w:rsidR="0076506E">
        <w:rPr>
          <w:rFonts w:ascii="Arial" w:hAnsi="Arial" w:cs="Arial"/>
          <w:sz w:val="18"/>
          <w:szCs w:val="18"/>
        </w:rPr>
        <w:t>.</w:t>
      </w:r>
    </w:p>
    <w:p w14:paraId="55E36560" w14:textId="0FB4FDE7" w:rsidR="00105B18" w:rsidRDefault="00105B18" w:rsidP="005846DB">
      <w:pPr>
        <w:pStyle w:val="ListParagraph"/>
        <w:spacing w:after="0" w:line="240" w:lineRule="auto"/>
        <w:ind w:left="357"/>
        <w:contextualSpacing w:val="0"/>
        <w:jc w:val="both"/>
        <w:rPr>
          <w:rFonts w:ascii="Arial" w:hAnsi="Arial" w:cs="Arial"/>
          <w:sz w:val="18"/>
          <w:szCs w:val="18"/>
        </w:rPr>
      </w:pPr>
    </w:p>
    <w:p w14:paraId="2D7D3B38" w14:textId="173FD60A" w:rsidR="00105B18" w:rsidRPr="005131B5" w:rsidRDefault="005131B5" w:rsidP="000D1534">
      <w:pPr>
        <w:pStyle w:val="ListParagraph"/>
        <w:spacing w:after="0" w:line="240" w:lineRule="auto"/>
        <w:ind w:left="357"/>
        <w:contextualSpacing w:val="0"/>
        <w:jc w:val="both"/>
        <w:rPr>
          <w:rFonts w:ascii="Arial" w:hAnsi="Arial" w:cs="Arial"/>
          <w:sz w:val="18"/>
          <w:szCs w:val="18"/>
        </w:rPr>
      </w:pPr>
      <w:r>
        <w:rPr>
          <w:rFonts w:ascii="Arial" w:hAnsi="Arial" w:cs="Arial"/>
          <w:sz w:val="18"/>
          <w:szCs w:val="18"/>
        </w:rPr>
        <w:t xml:space="preserve">De bedrijfsrevisor zal in zijn controleverklaring </w:t>
      </w:r>
      <w:r w:rsidRPr="005131B5">
        <w:rPr>
          <w:rFonts w:ascii="Arial" w:hAnsi="Arial" w:cs="Arial"/>
          <w:sz w:val="18"/>
          <w:szCs w:val="18"/>
        </w:rPr>
        <w:t xml:space="preserve">een conclusie met een redelijke mate van zekerheid </w:t>
      </w:r>
      <w:r>
        <w:rPr>
          <w:rFonts w:ascii="Arial" w:hAnsi="Arial" w:cs="Arial"/>
          <w:sz w:val="18"/>
          <w:szCs w:val="18"/>
        </w:rPr>
        <w:t>tot uitdrukking brengen.</w:t>
      </w:r>
    </w:p>
    <w:p w14:paraId="5AB204BC" w14:textId="77777777" w:rsidR="002C2C27" w:rsidRDefault="002C2C27" w:rsidP="005846DB">
      <w:pPr>
        <w:pStyle w:val="ListParagraph"/>
        <w:spacing w:after="0" w:line="240" w:lineRule="auto"/>
        <w:ind w:left="357"/>
        <w:contextualSpacing w:val="0"/>
        <w:jc w:val="both"/>
        <w:rPr>
          <w:rFonts w:ascii="Arial" w:hAnsi="Arial" w:cs="Arial"/>
          <w:sz w:val="18"/>
          <w:szCs w:val="18"/>
        </w:rPr>
      </w:pPr>
    </w:p>
    <w:p w14:paraId="0A8D04F4" w14:textId="60B17897" w:rsidR="001F0E20" w:rsidRDefault="001F0E20">
      <w:pPr>
        <w:pStyle w:val="ListParagraph"/>
        <w:spacing w:after="0" w:line="240" w:lineRule="auto"/>
        <w:ind w:left="357"/>
        <w:contextualSpacing w:val="0"/>
        <w:jc w:val="both"/>
        <w:rPr>
          <w:rFonts w:ascii="Arial" w:hAnsi="Arial" w:cs="Arial"/>
          <w:sz w:val="18"/>
          <w:szCs w:val="18"/>
        </w:rPr>
      </w:pPr>
      <w:r w:rsidRPr="001F0E20">
        <w:rPr>
          <w:rFonts w:ascii="Arial" w:hAnsi="Arial" w:cs="Arial"/>
          <w:sz w:val="18"/>
          <w:szCs w:val="18"/>
        </w:rPr>
        <w:t>De controleverklaring volgt bij voorkeur de voorbeeldverklaring gevoegd in bijlage bij ISA 800.</w:t>
      </w:r>
      <w:r>
        <w:rPr>
          <w:rFonts w:ascii="Arial" w:hAnsi="Arial" w:cs="Arial"/>
          <w:sz w:val="18"/>
          <w:szCs w:val="18"/>
        </w:rPr>
        <w:t xml:space="preserve"> </w:t>
      </w:r>
    </w:p>
    <w:p w14:paraId="136C2C8C" w14:textId="37F5BBB8" w:rsidR="00990EBE" w:rsidRDefault="00990EBE">
      <w:pPr>
        <w:pStyle w:val="ListParagraph"/>
        <w:spacing w:after="0" w:line="240" w:lineRule="auto"/>
        <w:ind w:left="357"/>
        <w:contextualSpacing w:val="0"/>
        <w:jc w:val="both"/>
        <w:rPr>
          <w:rFonts w:ascii="Arial" w:hAnsi="Arial" w:cs="Arial"/>
          <w:sz w:val="18"/>
          <w:szCs w:val="18"/>
        </w:rPr>
      </w:pPr>
    </w:p>
    <w:p w14:paraId="692F58E9" w14:textId="5D192029" w:rsidR="00990EBE" w:rsidRDefault="00990EBE" w:rsidP="000D1534">
      <w:pPr>
        <w:pStyle w:val="ListParagraph"/>
        <w:numPr>
          <w:ilvl w:val="0"/>
          <w:numId w:val="2"/>
        </w:numPr>
        <w:spacing w:after="0" w:line="240" w:lineRule="auto"/>
        <w:ind w:left="426" w:hanging="426"/>
        <w:contextualSpacing w:val="0"/>
        <w:jc w:val="both"/>
        <w:rPr>
          <w:rFonts w:ascii="Arial" w:hAnsi="Arial" w:cs="Arial"/>
          <w:sz w:val="18"/>
          <w:szCs w:val="18"/>
        </w:rPr>
      </w:pPr>
      <w:r w:rsidRPr="00990EBE">
        <w:rPr>
          <w:rFonts w:ascii="Arial" w:hAnsi="Arial" w:cs="Arial"/>
          <w:sz w:val="18"/>
          <w:szCs w:val="18"/>
        </w:rPr>
        <w:t xml:space="preserve">Deze </w:t>
      </w:r>
      <w:r w:rsidR="004907EE">
        <w:rPr>
          <w:rFonts w:ascii="Arial" w:hAnsi="Arial" w:cs="Arial"/>
          <w:sz w:val="18"/>
          <w:szCs w:val="18"/>
        </w:rPr>
        <w:t>drie</w:t>
      </w:r>
      <w:r w:rsidRPr="00990EBE">
        <w:rPr>
          <w:rFonts w:ascii="Arial" w:hAnsi="Arial" w:cs="Arial"/>
          <w:sz w:val="18"/>
          <w:szCs w:val="18"/>
        </w:rPr>
        <w:t xml:space="preserve"> verslagen</w:t>
      </w:r>
      <w:r>
        <w:rPr>
          <w:rFonts w:ascii="Arial" w:hAnsi="Arial" w:cs="Arial"/>
          <w:sz w:val="18"/>
          <w:szCs w:val="18"/>
        </w:rPr>
        <w:t xml:space="preserve"> </w:t>
      </w:r>
      <w:r w:rsidR="00340F2B">
        <w:rPr>
          <w:rFonts w:ascii="Arial" w:hAnsi="Arial" w:cs="Arial"/>
          <w:sz w:val="18"/>
          <w:szCs w:val="18"/>
        </w:rPr>
        <w:t>over</w:t>
      </w:r>
      <w:r>
        <w:rPr>
          <w:rFonts w:ascii="Arial" w:hAnsi="Arial" w:cs="Arial"/>
          <w:sz w:val="18"/>
          <w:szCs w:val="18"/>
        </w:rPr>
        <w:t xml:space="preserve"> de </w:t>
      </w:r>
      <w:r w:rsidR="004907EE">
        <w:rPr>
          <w:rFonts w:ascii="Arial" w:hAnsi="Arial" w:cs="Arial"/>
          <w:sz w:val="18"/>
          <w:szCs w:val="18"/>
        </w:rPr>
        <w:t>drie</w:t>
      </w:r>
      <w:r>
        <w:rPr>
          <w:rFonts w:ascii="Arial" w:hAnsi="Arial" w:cs="Arial"/>
          <w:sz w:val="18"/>
          <w:szCs w:val="18"/>
        </w:rPr>
        <w:t xml:space="preserve"> clusters</w:t>
      </w:r>
      <w:r w:rsidRPr="00990EBE">
        <w:rPr>
          <w:rFonts w:ascii="Arial" w:hAnsi="Arial" w:cs="Arial"/>
          <w:sz w:val="18"/>
          <w:szCs w:val="18"/>
        </w:rPr>
        <w:t xml:space="preserve"> dienen in onderlinge samenhang te worden gelezen en kunnen niet afzonderlijk van elkaar worden gezien of gebruikt.</w:t>
      </w:r>
    </w:p>
    <w:p w14:paraId="2EF72ED6" w14:textId="77777777" w:rsidR="001F0E20" w:rsidRDefault="001F0E20" w:rsidP="000D1534">
      <w:pPr>
        <w:pStyle w:val="ListParagraph"/>
        <w:ind w:left="360"/>
        <w:contextualSpacing w:val="0"/>
        <w:jc w:val="both"/>
        <w:rPr>
          <w:rFonts w:ascii="Arial" w:hAnsi="Arial" w:cs="Arial"/>
          <w:sz w:val="18"/>
          <w:szCs w:val="18"/>
        </w:rPr>
      </w:pPr>
    </w:p>
    <w:p w14:paraId="787F70B8" w14:textId="77777777" w:rsidR="007A1DDC" w:rsidRPr="005155AA" w:rsidRDefault="007A1DDC" w:rsidP="00274BC5">
      <w:pPr>
        <w:pStyle w:val="ListParagraph"/>
        <w:numPr>
          <w:ilvl w:val="0"/>
          <w:numId w:val="2"/>
        </w:numPr>
        <w:ind w:left="360"/>
        <w:contextualSpacing w:val="0"/>
        <w:jc w:val="both"/>
        <w:rPr>
          <w:rFonts w:ascii="Arial" w:hAnsi="Arial" w:cs="Arial"/>
          <w:sz w:val="18"/>
          <w:szCs w:val="18"/>
        </w:rPr>
      </w:pPr>
      <w:r w:rsidRPr="005155AA">
        <w:rPr>
          <w:rFonts w:ascii="Arial" w:hAnsi="Arial" w:cs="Arial"/>
          <w:sz w:val="18"/>
          <w:szCs w:val="18"/>
        </w:rPr>
        <w:t xml:space="preserve">Ook ISQC 1 zal van toepassing zijn op de opdracht overeenkomstig de norm van 28 februari 2014 inzake de toepassing van ISQC 1 in België. Conform deze norm dient het bedrijfsrevisorenkantoor, indien de </w:t>
      </w:r>
      <w:r w:rsidRPr="005155AA">
        <w:rPr>
          <w:rFonts w:ascii="Arial" w:hAnsi="Arial" w:cs="Arial"/>
          <w:sz w:val="18"/>
          <w:szCs w:val="18"/>
        </w:rPr>
        <w:lastRenderedPageBreak/>
        <w:t>beoordelingsopdracht beantwoordt aan de criteria van een verplichte opdrachtgerichte kwaliteitsbeoordeling</w:t>
      </w:r>
      <w:r w:rsidRPr="005155AA">
        <w:rPr>
          <w:rStyle w:val="FootnoteReference"/>
          <w:rFonts w:ascii="Arial" w:hAnsi="Arial" w:cs="Arial"/>
          <w:sz w:val="18"/>
          <w:szCs w:val="18"/>
        </w:rPr>
        <w:footnoteReference w:id="3"/>
      </w:r>
      <w:r w:rsidRPr="005155AA">
        <w:rPr>
          <w:rFonts w:ascii="Arial" w:hAnsi="Arial" w:cs="Arial"/>
          <w:sz w:val="18"/>
          <w:szCs w:val="18"/>
        </w:rPr>
        <w:t>,</w:t>
      </w:r>
      <w:r w:rsidRPr="005155AA" w:rsidDel="005C4DFD">
        <w:rPr>
          <w:rFonts w:ascii="Arial" w:hAnsi="Arial" w:cs="Arial"/>
          <w:sz w:val="18"/>
          <w:szCs w:val="18"/>
        </w:rPr>
        <w:t xml:space="preserve"> </w:t>
      </w:r>
      <w:r w:rsidRPr="005155AA">
        <w:rPr>
          <w:rFonts w:ascii="Arial" w:hAnsi="Arial" w:cs="Arial"/>
          <w:sz w:val="18"/>
          <w:szCs w:val="18"/>
        </w:rPr>
        <w:t xml:space="preserve">een opdrachtgerichte kwaliteitsbeoordelaar aan te duiden die een bedrijfsrevisor dient te zijn. </w:t>
      </w:r>
    </w:p>
    <w:sectPr w:rsidR="007A1DDC" w:rsidRPr="005155AA" w:rsidSect="00C44A61">
      <w:footerReference w:type="default" r:id="rId14"/>
      <w:pgSz w:w="11906" w:h="16838"/>
      <w:pgMar w:top="964" w:right="1418" w:bottom="96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197B11" w14:textId="77777777" w:rsidR="00B222D1" w:rsidRDefault="00B222D1" w:rsidP="000A3FF0">
      <w:pPr>
        <w:spacing w:after="0" w:line="240" w:lineRule="auto"/>
      </w:pPr>
      <w:r>
        <w:separator/>
      </w:r>
    </w:p>
  </w:endnote>
  <w:endnote w:type="continuationSeparator" w:id="0">
    <w:p w14:paraId="24C52A30" w14:textId="77777777" w:rsidR="00B222D1" w:rsidRDefault="00B222D1" w:rsidP="000A3F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217EE" w14:textId="359A4309" w:rsidR="000B7AE2" w:rsidRDefault="000B7AE2">
    <w:pPr>
      <w:pStyle w:val="Footer"/>
    </w:pPr>
    <w:r>
      <w:tab/>
    </w:r>
    <w:r>
      <w:tab/>
    </w:r>
    <w:r>
      <w:fldChar w:fldCharType="begin"/>
    </w:r>
    <w:r>
      <w:instrText xml:space="preserve"> PAGE   \* MERGEFORMAT </w:instrText>
    </w:r>
    <w:r>
      <w:fldChar w:fldCharType="separate"/>
    </w:r>
    <w:r>
      <w:rPr>
        <w:noProof/>
      </w:rPr>
      <w:t>4</w:t>
    </w:r>
    <w:r>
      <w:fldChar w:fldCharType="end"/>
    </w:r>
    <w:r>
      <w:t>/</w:t>
    </w:r>
    <w:r>
      <w:rPr>
        <w:noProof/>
      </w:rPr>
      <w:fldChar w:fldCharType="begin"/>
    </w:r>
    <w:r>
      <w:rPr>
        <w:noProof/>
      </w:rPr>
      <w:instrText xml:space="preserve"> NUMPAGES   \* MERGEFORMAT </w:instrText>
    </w:r>
    <w:r>
      <w:rPr>
        <w:noProof/>
      </w:rPr>
      <w:fldChar w:fldCharType="separate"/>
    </w:r>
    <w:r>
      <w:rPr>
        <w:noProof/>
      </w:rPr>
      <w:t>11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1C96C5" w14:textId="77777777" w:rsidR="00B222D1" w:rsidRDefault="00B222D1" w:rsidP="000A3FF0">
      <w:pPr>
        <w:spacing w:after="0" w:line="240" w:lineRule="auto"/>
      </w:pPr>
      <w:r>
        <w:separator/>
      </w:r>
    </w:p>
  </w:footnote>
  <w:footnote w:type="continuationSeparator" w:id="0">
    <w:p w14:paraId="533FB1AD" w14:textId="77777777" w:rsidR="00B222D1" w:rsidRDefault="00B222D1" w:rsidP="000A3FF0">
      <w:pPr>
        <w:spacing w:after="0" w:line="240" w:lineRule="auto"/>
      </w:pPr>
      <w:r>
        <w:continuationSeparator/>
      </w:r>
    </w:p>
  </w:footnote>
  <w:footnote w:id="1">
    <w:p w14:paraId="290F56FF" w14:textId="77777777" w:rsidR="000B7AE2" w:rsidRPr="001A022D" w:rsidRDefault="000B7AE2" w:rsidP="000566F5">
      <w:pPr>
        <w:pStyle w:val="FootnoteText"/>
        <w:jc w:val="both"/>
      </w:pPr>
      <w:r w:rsidRPr="000D1534">
        <w:rPr>
          <w:rStyle w:val="FootnoteReference"/>
          <w:rFonts w:ascii="Arial" w:hAnsi="Arial" w:cs="Arial"/>
          <w:sz w:val="16"/>
          <w:szCs w:val="16"/>
        </w:rPr>
        <w:footnoteRef/>
      </w:r>
      <w:r w:rsidRPr="000D1534">
        <w:rPr>
          <w:rFonts w:ascii="Arial" w:hAnsi="Arial" w:cs="Arial"/>
          <w:sz w:val="16"/>
          <w:szCs w:val="16"/>
        </w:rPr>
        <w:t xml:space="preserve"> Wet van 28 april 2020 tot omzetting van richtlijn (EU) 2017/828 van het Europees Parlement en de Raad van 17 mei 2017 tot wijziging van richtlijn 2007/36/EG wat het bevorderen van de langetermijnbetrokkenheid van aandeelhouders betreft, en houdende diverse bepalingen inzake vennootschappen en verenigingen (</w:t>
      </w:r>
      <w:r w:rsidRPr="000D1534">
        <w:rPr>
          <w:rFonts w:ascii="Arial" w:hAnsi="Arial" w:cs="Arial"/>
          <w:i/>
          <w:iCs/>
          <w:sz w:val="16"/>
          <w:szCs w:val="16"/>
        </w:rPr>
        <w:t>BS</w:t>
      </w:r>
      <w:r w:rsidRPr="000D1534">
        <w:rPr>
          <w:rFonts w:ascii="Arial" w:hAnsi="Arial" w:cs="Arial"/>
          <w:sz w:val="16"/>
          <w:szCs w:val="16"/>
        </w:rPr>
        <w:t xml:space="preserve"> 6 mei 2020).</w:t>
      </w:r>
    </w:p>
  </w:footnote>
  <w:footnote w:id="2">
    <w:p w14:paraId="159A6BD2" w14:textId="3D8ED329" w:rsidR="00B7444F" w:rsidRPr="000D1534" w:rsidRDefault="00B7444F">
      <w:pPr>
        <w:pStyle w:val="FootnoteText"/>
        <w:rPr>
          <w:rFonts w:ascii="Arial" w:hAnsi="Arial" w:cs="Arial"/>
          <w:sz w:val="16"/>
          <w:szCs w:val="16"/>
        </w:rPr>
      </w:pPr>
      <w:r w:rsidRPr="000D1534">
        <w:rPr>
          <w:rStyle w:val="FootnoteReference"/>
          <w:rFonts w:ascii="Arial" w:hAnsi="Arial" w:cs="Arial"/>
          <w:sz w:val="16"/>
          <w:szCs w:val="16"/>
        </w:rPr>
        <w:footnoteRef/>
      </w:r>
      <w:r w:rsidRPr="000D1534">
        <w:rPr>
          <w:rFonts w:ascii="Arial" w:hAnsi="Arial" w:cs="Arial"/>
          <w:sz w:val="16"/>
          <w:szCs w:val="16"/>
        </w:rPr>
        <w:t xml:space="preserve"> De statistische grondslagen van ESR 2010 beogen een coherent raamwerk te vormen voor macro-economische analyses en dienen dus niet om verantwoording af te leggen en om hierop besluitvorming te baseren.</w:t>
      </w:r>
    </w:p>
  </w:footnote>
  <w:footnote w:id="3">
    <w:p w14:paraId="4C8949AE" w14:textId="77777777" w:rsidR="000B7AE2" w:rsidRPr="000D1534" w:rsidRDefault="000B7AE2" w:rsidP="007A1DDC">
      <w:pPr>
        <w:pStyle w:val="FootnoteText"/>
        <w:jc w:val="both"/>
        <w:rPr>
          <w:rFonts w:ascii="Arial" w:hAnsi="Arial" w:cs="Arial"/>
          <w:sz w:val="16"/>
          <w:szCs w:val="16"/>
        </w:rPr>
      </w:pPr>
      <w:r w:rsidRPr="000D1534">
        <w:rPr>
          <w:rStyle w:val="FootnoteReference"/>
          <w:rFonts w:ascii="Arial" w:hAnsi="Arial" w:cs="Arial"/>
          <w:sz w:val="16"/>
          <w:szCs w:val="16"/>
        </w:rPr>
        <w:footnoteRef/>
      </w:r>
      <w:r w:rsidRPr="000D1534">
        <w:rPr>
          <w:rFonts w:ascii="Arial" w:hAnsi="Arial" w:cs="Arial"/>
          <w:sz w:val="16"/>
          <w:szCs w:val="16"/>
        </w:rPr>
        <w:t xml:space="preserve"> In België is de opdrachtgerichte kwaliteitsbeoordeling verplicht voor alle beoordelingsopdrachten van financiële overzichten van organisaties van openbaar belang en voor alle andere beoordelingsopdrachten die beantwoorden aan de criteria vastgelegd door het bedrijfsrevisorenkant</w:t>
      </w:r>
      <w:bookmarkStart w:id="7" w:name="_GoBack"/>
      <w:bookmarkEnd w:id="7"/>
      <w:r w:rsidRPr="000D1534">
        <w:rPr>
          <w:rFonts w:ascii="Arial" w:hAnsi="Arial" w:cs="Arial"/>
          <w:sz w:val="16"/>
          <w:szCs w:val="16"/>
        </w:rPr>
        <w:t>oor.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B2BB3"/>
    <w:multiLevelType w:val="hybridMultilevel"/>
    <w:tmpl w:val="40CAD8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5F70860"/>
    <w:multiLevelType w:val="hybridMultilevel"/>
    <w:tmpl w:val="A1EA1FDA"/>
    <w:lvl w:ilvl="0" w:tplc="9B48C922">
      <w:start w:val="2"/>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4441ADF"/>
    <w:multiLevelType w:val="hybridMultilevel"/>
    <w:tmpl w:val="0AAA91C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145B2DCD"/>
    <w:multiLevelType w:val="hybridMultilevel"/>
    <w:tmpl w:val="990CC986"/>
    <w:lvl w:ilvl="0" w:tplc="CBE0E91C">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2E01F1A"/>
    <w:multiLevelType w:val="hybridMultilevel"/>
    <w:tmpl w:val="B2F02E8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34B6660E"/>
    <w:multiLevelType w:val="hybridMultilevel"/>
    <w:tmpl w:val="20B63F2E"/>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35F52DAB"/>
    <w:multiLevelType w:val="hybridMultilevel"/>
    <w:tmpl w:val="6756ED0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3BCC2E8A"/>
    <w:multiLevelType w:val="hybridMultilevel"/>
    <w:tmpl w:val="829C0462"/>
    <w:lvl w:ilvl="0" w:tplc="7B3E7A40">
      <w:start w:val="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C315743"/>
    <w:multiLevelType w:val="hybridMultilevel"/>
    <w:tmpl w:val="96EEBC3C"/>
    <w:lvl w:ilvl="0" w:tplc="CBE0E91C">
      <w:numFmt w:val="bullet"/>
      <w:lvlText w:val="-"/>
      <w:lvlJc w:val="left"/>
      <w:pPr>
        <w:ind w:left="1146" w:hanging="360"/>
      </w:pPr>
      <w:rPr>
        <w:rFonts w:ascii="Calibri" w:eastAsiaTheme="minorHAnsi" w:hAnsi="Calibri" w:cstheme="minorBidi" w:hint="default"/>
      </w:rPr>
    </w:lvl>
    <w:lvl w:ilvl="1" w:tplc="08130003">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9" w15:restartNumberingAfterBreak="0">
    <w:nsid w:val="3E116292"/>
    <w:multiLevelType w:val="hybridMultilevel"/>
    <w:tmpl w:val="8B1AFD0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4970199A"/>
    <w:multiLevelType w:val="hybridMultilevel"/>
    <w:tmpl w:val="C712703A"/>
    <w:lvl w:ilvl="0" w:tplc="1809000F">
      <w:start w:val="1"/>
      <w:numFmt w:val="decimal"/>
      <w:lvlText w:val="%1."/>
      <w:lvlJc w:val="left"/>
      <w:pPr>
        <w:ind w:left="720" w:hanging="360"/>
      </w:pPr>
      <w:rPr>
        <w:rFonts w:hint="default"/>
        <w:b w:val="0"/>
        <w:sz w:val="22"/>
        <w:szCs w:val="22"/>
      </w:rPr>
    </w:lvl>
    <w:lvl w:ilvl="1" w:tplc="E56CF68A">
      <w:start w:val="1"/>
      <w:numFmt w:val="lowerLetter"/>
      <w:lvlText w:val="%2)"/>
      <w:lvlJc w:val="left"/>
      <w:pPr>
        <w:ind w:left="1440" w:hanging="360"/>
      </w:pPr>
      <w:rPr>
        <w:rFonts w:hint="default"/>
      </w:rPr>
    </w:lvl>
    <w:lvl w:ilvl="2" w:tplc="4DAE78F4">
      <w:numFmt w:val="bullet"/>
      <w:lvlText w:val="–"/>
      <w:lvlJc w:val="left"/>
      <w:pPr>
        <w:ind w:left="2340" w:hanging="360"/>
      </w:pPr>
      <w:rPr>
        <w:rFonts w:ascii="Calibri" w:eastAsiaTheme="minorHAnsi" w:hAnsi="Calibri" w:cs="Calibri" w:hint="default"/>
      </w:r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4D671B71"/>
    <w:multiLevelType w:val="hybridMultilevel"/>
    <w:tmpl w:val="44E69F92"/>
    <w:lvl w:ilvl="0" w:tplc="52C603FC">
      <w:start w:val="2"/>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DEE57D8"/>
    <w:multiLevelType w:val="hybridMultilevel"/>
    <w:tmpl w:val="5F9697C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3" w15:restartNumberingAfterBreak="0">
    <w:nsid w:val="4FED0B79"/>
    <w:multiLevelType w:val="hybridMultilevel"/>
    <w:tmpl w:val="6CC09420"/>
    <w:lvl w:ilvl="0" w:tplc="1809000F">
      <w:start w:val="1"/>
      <w:numFmt w:val="decimal"/>
      <w:lvlText w:val="%1."/>
      <w:lvlJc w:val="left"/>
      <w:pPr>
        <w:ind w:left="720" w:hanging="360"/>
      </w:pPr>
      <w:rPr>
        <w:rFonts w:hint="default"/>
        <w:b w:val="0"/>
        <w:sz w:val="22"/>
        <w:szCs w:val="22"/>
      </w:rPr>
    </w:lvl>
    <w:lvl w:ilvl="1" w:tplc="E56CF68A">
      <w:start w:val="1"/>
      <w:numFmt w:val="lowerLetter"/>
      <w:lvlText w:val="%2)"/>
      <w:lvlJc w:val="left"/>
      <w:pPr>
        <w:ind w:left="1440" w:hanging="360"/>
      </w:pPr>
      <w:rPr>
        <w:rFonts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53A648B5"/>
    <w:multiLevelType w:val="hybridMultilevel"/>
    <w:tmpl w:val="0D302728"/>
    <w:lvl w:ilvl="0" w:tplc="178E098E">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82302AC"/>
    <w:multiLevelType w:val="hybridMultilevel"/>
    <w:tmpl w:val="726AB4A6"/>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5CC533AA"/>
    <w:multiLevelType w:val="hybridMultilevel"/>
    <w:tmpl w:val="88441B7A"/>
    <w:lvl w:ilvl="0" w:tplc="F55C775A">
      <w:start w:val="16"/>
      <w:numFmt w:val="bullet"/>
      <w:lvlText w:val="-"/>
      <w:lvlJc w:val="left"/>
      <w:pPr>
        <w:ind w:left="720" w:hanging="360"/>
      </w:pPr>
      <w:rPr>
        <w:rFonts w:ascii="Symbol" w:eastAsia="Calibri" w:hAnsi="Symbol"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67074ABB"/>
    <w:multiLevelType w:val="hybridMultilevel"/>
    <w:tmpl w:val="5BA8D470"/>
    <w:lvl w:ilvl="0" w:tplc="DE26F7B4">
      <w:start w:val="1"/>
      <w:numFmt w:val="bullet"/>
      <w:lvlText w:val="-"/>
      <w:lvlJc w:val="left"/>
      <w:pPr>
        <w:ind w:left="717" w:hanging="360"/>
      </w:pPr>
      <w:rPr>
        <w:rFonts w:ascii="Times New Roman" w:hAnsi="Times New Roman" w:cs="Times New Roman" w:hint="default"/>
      </w:rPr>
    </w:lvl>
    <w:lvl w:ilvl="1" w:tplc="08130003">
      <w:start w:val="1"/>
      <w:numFmt w:val="bullet"/>
      <w:lvlText w:val="o"/>
      <w:lvlJc w:val="left"/>
      <w:pPr>
        <w:ind w:left="1437" w:hanging="360"/>
      </w:pPr>
      <w:rPr>
        <w:rFonts w:ascii="Courier New" w:hAnsi="Courier New" w:cs="Courier New" w:hint="default"/>
      </w:rPr>
    </w:lvl>
    <w:lvl w:ilvl="2" w:tplc="08130005">
      <w:start w:val="1"/>
      <w:numFmt w:val="bullet"/>
      <w:lvlText w:val=""/>
      <w:lvlJc w:val="left"/>
      <w:pPr>
        <w:ind w:left="2157" w:hanging="360"/>
      </w:pPr>
      <w:rPr>
        <w:rFonts w:ascii="Wingdings" w:hAnsi="Wingdings" w:hint="default"/>
      </w:rPr>
    </w:lvl>
    <w:lvl w:ilvl="3" w:tplc="08130001" w:tentative="1">
      <w:start w:val="1"/>
      <w:numFmt w:val="bullet"/>
      <w:lvlText w:val=""/>
      <w:lvlJc w:val="left"/>
      <w:pPr>
        <w:ind w:left="2877" w:hanging="360"/>
      </w:pPr>
      <w:rPr>
        <w:rFonts w:ascii="Symbol" w:hAnsi="Symbol" w:hint="default"/>
      </w:rPr>
    </w:lvl>
    <w:lvl w:ilvl="4" w:tplc="08130003" w:tentative="1">
      <w:start w:val="1"/>
      <w:numFmt w:val="bullet"/>
      <w:lvlText w:val="o"/>
      <w:lvlJc w:val="left"/>
      <w:pPr>
        <w:ind w:left="3597" w:hanging="360"/>
      </w:pPr>
      <w:rPr>
        <w:rFonts w:ascii="Courier New" w:hAnsi="Courier New" w:cs="Courier New" w:hint="default"/>
      </w:rPr>
    </w:lvl>
    <w:lvl w:ilvl="5" w:tplc="08130005" w:tentative="1">
      <w:start w:val="1"/>
      <w:numFmt w:val="bullet"/>
      <w:lvlText w:val=""/>
      <w:lvlJc w:val="left"/>
      <w:pPr>
        <w:ind w:left="4317" w:hanging="360"/>
      </w:pPr>
      <w:rPr>
        <w:rFonts w:ascii="Wingdings" w:hAnsi="Wingdings" w:hint="default"/>
      </w:rPr>
    </w:lvl>
    <w:lvl w:ilvl="6" w:tplc="08130001" w:tentative="1">
      <w:start w:val="1"/>
      <w:numFmt w:val="bullet"/>
      <w:lvlText w:val=""/>
      <w:lvlJc w:val="left"/>
      <w:pPr>
        <w:ind w:left="5037" w:hanging="360"/>
      </w:pPr>
      <w:rPr>
        <w:rFonts w:ascii="Symbol" w:hAnsi="Symbol" w:hint="default"/>
      </w:rPr>
    </w:lvl>
    <w:lvl w:ilvl="7" w:tplc="08130003" w:tentative="1">
      <w:start w:val="1"/>
      <w:numFmt w:val="bullet"/>
      <w:lvlText w:val="o"/>
      <w:lvlJc w:val="left"/>
      <w:pPr>
        <w:ind w:left="5757" w:hanging="360"/>
      </w:pPr>
      <w:rPr>
        <w:rFonts w:ascii="Courier New" w:hAnsi="Courier New" w:cs="Courier New" w:hint="default"/>
      </w:rPr>
    </w:lvl>
    <w:lvl w:ilvl="8" w:tplc="08130005" w:tentative="1">
      <w:start w:val="1"/>
      <w:numFmt w:val="bullet"/>
      <w:lvlText w:val=""/>
      <w:lvlJc w:val="left"/>
      <w:pPr>
        <w:ind w:left="6477" w:hanging="360"/>
      </w:pPr>
      <w:rPr>
        <w:rFonts w:ascii="Wingdings" w:hAnsi="Wingdings" w:hint="default"/>
      </w:rPr>
    </w:lvl>
  </w:abstractNum>
  <w:abstractNum w:abstractNumId="18" w15:restartNumberingAfterBreak="0">
    <w:nsid w:val="67492268"/>
    <w:multiLevelType w:val="hybridMultilevel"/>
    <w:tmpl w:val="0C6E32F8"/>
    <w:lvl w:ilvl="0" w:tplc="18090017">
      <w:start w:val="1"/>
      <w:numFmt w:val="lowerLetter"/>
      <w:lvlText w:val="%1)"/>
      <w:lvlJc w:val="left"/>
      <w:pPr>
        <w:ind w:left="1146" w:hanging="360"/>
      </w:pPr>
    </w:lvl>
    <w:lvl w:ilvl="1" w:tplc="CE40FEFA">
      <w:start w:val="1"/>
      <w:numFmt w:val="lowerLetter"/>
      <w:lvlText w:val="%2)"/>
      <w:lvlJc w:val="left"/>
      <w:pPr>
        <w:ind w:left="1866" w:hanging="360"/>
      </w:pPr>
      <w:rPr>
        <w:rFonts w:hint="default"/>
      </w:rPr>
    </w:lvl>
    <w:lvl w:ilvl="2" w:tplc="0813001B" w:tentative="1">
      <w:start w:val="1"/>
      <w:numFmt w:val="lowerRoman"/>
      <w:lvlText w:val="%3."/>
      <w:lvlJc w:val="right"/>
      <w:pPr>
        <w:ind w:left="2586" w:hanging="180"/>
      </w:pPr>
    </w:lvl>
    <w:lvl w:ilvl="3" w:tplc="0813000F" w:tentative="1">
      <w:start w:val="1"/>
      <w:numFmt w:val="decimal"/>
      <w:lvlText w:val="%4."/>
      <w:lvlJc w:val="left"/>
      <w:pPr>
        <w:ind w:left="3306" w:hanging="360"/>
      </w:pPr>
    </w:lvl>
    <w:lvl w:ilvl="4" w:tplc="08130019" w:tentative="1">
      <w:start w:val="1"/>
      <w:numFmt w:val="lowerLetter"/>
      <w:lvlText w:val="%5."/>
      <w:lvlJc w:val="left"/>
      <w:pPr>
        <w:ind w:left="4026" w:hanging="360"/>
      </w:pPr>
    </w:lvl>
    <w:lvl w:ilvl="5" w:tplc="0813001B" w:tentative="1">
      <w:start w:val="1"/>
      <w:numFmt w:val="lowerRoman"/>
      <w:lvlText w:val="%6."/>
      <w:lvlJc w:val="right"/>
      <w:pPr>
        <w:ind w:left="4746" w:hanging="180"/>
      </w:pPr>
    </w:lvl>
    <w:lvl w:ilvl="6" w:tplc="0813000F" w:tentative="1">
      <w:start w:val="1"/>
      <w:numFmt w:val="decimal"/>
      <w:lvlText w:val="%7."/>
      <w:lvlJc w:val="left"/>
      <w:pPr>
        <w:ind w:left="5466" w:hanging="360"/>
      </w:pPr>
    </w:lvl>
    <w:lvl w:ilvl="7" w:tplc="08130019" w:tentative="1">
      <w:start w:val="1"/>
      <w:numFmt w:val="lowerLetter"/>
      <w:lvlText w:val="%8."/>
      <w:lvlJc w:val="left"/>
      <w:pPr>
        <w:ind w:left="6186" w:hanging="360"/>
      </w:pPr>
    </w:lvl>
    <w:lvl w:ilvl="8" w:tplc="0813001B" w:tentative="1">
      <w:start w:val="1"/>
      <w:numFmt w:val="lowerRoman"/>
      <w:lvlText w:val="%9."/>
      <w:lvlJc w:val="right"/>
      <w:pPr>
        <w:ind w:left="6906" w:hanging="180"/>
      </w:pPr>
    </w:lvl>
  </w:abstractNum>
  <w:abstractNum w:abstractNumId="19" w15:restartNumberingAfterBreak="0">
    <w:nsid w:val="6B5D2751"/>
    <w:multiLevelType w:val="hybridMultilevel"/>
    <w:tmpl w:val="21028CA2"/>
    <w:lvl w:ilvl="0" w:tplc="B14C5010">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6D495EDC"/>
    <w:multiLevelType w:val="hybridMultilevel"/>
    <w:tmpl w:val="B8ECB118"/>
    <w:lvl w:ilvl="0" w:tplc="D09EEF58">
      <w:start w:val="3"/>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7172624B"/>
    <w:multiLevelType w:val="hybridMultilevel"/>
    <w:tmpl w:val="B0C62660"/>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761433FE"/>
    <w:multiLevelType w:val="hybridMultilevel"/>
    <w:tmpl w:val="1E783F36"/>
    <w:lvl w:ilvl="0" w:tplc="717400F6">
      <w:start w:val="1"/>
      <w:numFmt w:val="lowerRoman"/>
      <w:lvlText w:val="(%1)"/>
      <w:lvlJc w:val="center"/>
      <w:pPr>
        <w:ind w:left="1080" w:hanging="360"/>
      </w:pPr>
      <w:rPr>
        <w:rFonts w:hint="default"/>
      </w:rPr>
    </w:lvl>
    <w:lvl w:ilvl="1" w:tplc="56B49312">
      <w:start w:val="1"/>
      <w:numFmt w:val="lowerRoman"/>
      <w:lvlText w:val="(%2)"/>
      <w:lvlJc w:val="left"/>
      <w:pPr>
        <w:ind w:left="786" w:hanging="360"/>
      </w:pPr>
      <w:rPr>
        <w:rFonts w:hint="default"/>
      </w:rPr>
    </w:lvl>
    <w:lvl w:ilvl="2" w:tplc="52643A76">
      <w:start w:val="1"/>
      <w:numFmt w:val="decimal"/>
      <w:pStyle w:val="Heading5"/>
      <w:lvlText w:val="%3."/>
      <w:lvlJc w:val="left"/>
      <w:pPr>
        <w:ind w:left="2700" w:hanging="360"/>
      </w:pPr>
      <w:rPr>
        <w:rFonts w:hint="default"/>
      </w:rPr>
    </w:lvl>
    <w:lvl w:ilvl="3" w:tplc="79400E0C">
      <w:start w:val="1"/>
      <w:numFmt w:val="decimal"/>
      <w:lvlText w:val="%4)"/>
      <w:lvlJc w:val="left"/>
      <w:pPr>
        <w:ind w:left="3240" w:hanging="360"/>
      </w:pPr>
      <w:rPr>
        <w:rFonts w:hint="default"/>
      </w:r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3" w15:restartNumberingAfterBreak="0">
    <w:nsid w:val="7AC93C6B"/>
    <w:multiLevelType w:val="hybridMultilevel"/>
    <w:tmpl w:val="929AB250"/>
    <w:lvl w:ilvl="0" w:tplc="49B87770">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23"/>
  </w:num>
  <w:num w:numId="4">
    <w:abstractNumId w:val="11"/>
  </w:num>
  <w:num w:numId="5">
    <w:abstractNumId w:val="19"/>
  </w:num>
  <w:num w:numId="6">
    <w:abstractNumId w:val="0"/>
  </w:num>
  <w:num w:numId="7">
    <w:abstractNumId w:val="21"/>
  </w:num>
  <w:num w:numId="8">
    <w:abstractNumId w:val="5"/>
  </w:num>
  <w:num w:numId="9">
    <w:abstractNumId w:val="4"/>
  </w:num>
  <w:num w:numId="10">
    <w:abstractNumId w:val="2"/>
  </w:num>
  <w:num w:numId="11">
    <w:abstractNumId w:val="6"/>
  </w:num>
  <w:num w:numId="12">
    <w:abstractNumId w:val="15"/>
  </w:num>
  <w:num w:numId="13">
    <w:abstractNumId w:val="7"/>
  </w:num>
  <w:num w:numId="14">
    <w:abstractNumId w:val="22"/>
  </w:num>
  <w:num w:numId="15">
    <w:abstractNumId w:val="18"/>
  </w:num>
  <w:num w:numId="16">
    <w:abstractNumId w:val="1"/>
  </w:num>
  <w:num w:numId="17">
    <w:abstractNumId w:val="14"/>
  </w:num>
  <w:num w:numId="18">
    <w:abstractNumId w:val="8"/>
  </w:num>
  <w:num w:numId="19">
    <w:abstractNumId w:val="13"/>
  </w:num>
  <w:num w:numId="20">
    <w:abstractNumId w:val="16"/>
  </w:num>
  <w:num w:numId="21">
    <w:abstractNumId w:val="20"/>
  </w:num>
  <w:num w:numId="22">
    <w:abstractNumId w:val="9"/>
  </w:num>
  <w:num w:numId="23">
    <w:abstractNumId w:val="12"/>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DAF"/>
    <w:rsid w:val="000071F0"/>
    <w:rsid w:val="00010855"/>
    <w:rsid w:val="00023377"/>
    <w:rsid w:val="00030B71"/>
    <w:rsid w:val="00043ADE"/>
    <w:rsid w:val="000549E1"/>
    <w:rsid w:val="00056237"/>
    <w:rsid w:val="000566F5"/>
    <w:rsid w:val="000601F7"/>
    <w:rsid w:val="000602AB"/>
    <w:rsid w:val="00061164"/>
    <w:rsid w:val="00064479"/>
    <w:rsid w:val="00065A03"/>
    <w:rsid w:val="00066BAC"/>
    <w:rsid w:val="0007116C"/>
    <w:rsid w:val="00071354"/>
    <w:rsid w:val="0007383E"/>
    <w:rsid w:val="00075786"/>
    <w:rsid w:val="000778CA"/>
    <w:rsid w:val="0008210E"/>
    <w:rsid w:val="000906E0"/>
    <w:rsid w:val="00094EE5"/>
    <w:rsid w:val="0009619F"/>
    <w:rsid w:val="000A3FF0"/>
    <w:rsid w:val="000A5957"/>
    <w:rsid w:val="000B05C4"/>
    <w:rsid w:val="000B7A88"/>
    <w:rsid w:val="000B7AE2"/>
    <w:rsid w:val="000C0741"/>
    <w:rsid w:val="000C716F"/>
    <w:rsid w:val="000D02A0"/>
    <w:rsid w:val="000D1534"/>
    <w:rsid w:val="000D40C2"/>
    <w:rsid w:val="000E1C4E"/>
    <w:rsid w:val="000E3AFD"/>
    <w:rsid w:val="000F2A41"/>
    <w:rsid w:val="000F6733"/>
    <w:rsid w:val="000F7BF2"/>
    <w:rsid w:val="00105B18"/>
    <w:rsid w:val="00110106"/>
    <w:rsid w:val="00124E79"/>
    <w:rsid w:val="001267B1"/>
    <w:rsid w:val="001275C1"/>
    <w:rsid w:val="001276BC"/>
    <w:rsid w:val="00127972"/>
    <w:rsid w:val="00132D15"/>
    <w:rsid w:val="00134D53"/>
    <w:rsid w:val="001414A0"/>
    <w:rsid w:val="00142C36"/>
    <w:rsid w:val="00144039"/>
    <w:rsid w:val="00146FA2"/>
    <w:rsid w:val="00151C4F"/>
    <w:rsid w:val="001547ED"/>
    <w:rsid w:val="00165533"/>
    <w:rsid w:val="00165579"/>
    <w:rsid w:val="00173DEC"/>
    <w:rsid w:val="0017578D"/>
    <w:rsid w:val="00177009"/>
    <w:rsid w:val="001A2A52"/>
    <w:rsid w:val="001A32E3"/>
    <w:rsid w:val="001A43AC"/>
    <w:rsid w:val="001A4676"/>
    <w:rsid w:val="001A76E7"/>
    <w:rsid w:val="001A7EBC"/>
    <w:rsid w:val="001B7AB7"/>
    <w:rsid w:val="001C19BE"/>
    <w:rsid w:val="001C24D8"/>
    <w:rsid w:val="001C706F"/>
    <w:rsid w:val="001D2051"/>
    <w:rsid w:val="001D24FE"/>
    <w:rsid w:val="001D2A03"/>
    <w:rsid w:val="001D3911"/>
    <w:rsid w:val="001D73A7"/>
    <w:rsid w:val="001E13B3"/>
    <w:rsid w:val="001E1428"/>
    <w:rsid w:val="001E28AB"/>
    <w:rsid w:val="001E6CDB"/>
    <w:rsid w:val="001F0E20"/>
    <w:rsid w:val="001F134E"/>
    <w:rsid w:val="001F7FF9"/>
    <w:rsid w:val="002169EF"/>
    <w:rsid w:val="00216A33"/>
    <w:rsid w:val="002174C4"/>
    <w:rsid w:val="00217BE6"/>
    <w:rsid w:val="0022352F"/>
    <w:rsid w:val="00227F5C"/>
    <w:rsid w:val="002318C9"/>
    <w:rsid w:val="002462B8"/>
    <w:rsid w:val="00253CB4"/>
    <w:rsid w:val="002542D2"/>
    <w:rsid w:val="00273428"/>
    <w:rsid w:val="00274112"/>
    <w:rsid w:val="00274BC5"/>
    <w:rsid w:val="0027660A"/>
    <w:rsid w:val="00280BC7"/>
    <w:rsid w:val="00287BF0"/>
    <w:rsid w:val="00287DB4"/>
    <w:rsid w:val="00291297"/>
    <w:rsid w:val="002A0108"/>
    <w:rsid w:val="002A0B78"/>
    <w:rsid w:val="002A7C23"/>
    <w:rsid w:val="002C2C27"/>
    <w:rsid w:val="002D0807"/>
    <w:rsid w:val="002D2A65"/>
    <w:rsid w:val="002D4CCB"/>
    <w:rsid w:val="002D58D0"/>
    <w:rsid w:val="002F06E0"/>
    <w:rsid w:val="00302B14"/>
    <w:rsid w:val="00305F42"/>
    <w:rsid w:val="003079EE"/>
    <w:rsid w:val="0031039B"/>
    <w:rsid w:val="003107DC"/>
    <w:rsid w:val="003118C8"/>
    <w:rsid w:val="00312F02"/>
    <w:rsid w:val="00313C92"/>
    <w:rsid w:val="00313D4A"/>
    <w:rsid w:val="00315666"/>
    <w:rsid w:val="00315766"/>
    <w:rsid w:val="00317417"/>
    <w:rsid w:val="00320B38"/>
    <w:rsid w:val="00324539"/>
    <w:rsid w:val="00324B76"/>
    <w:rsid w:val="00330B61"/>
    <w:rsid w:val="003316CA"/>
    <w:rsid w:val="00332A32"/>
    <w:rsid w:val="00332D88"/>
    <w:rsid w:val="003342FD"/>
    <w:rsid w:val="0033728A"/>
    <w:rsid w:val="00337ED8"/>
    <w:rsid w:val="00340F2B"/>
    <w:rsid w:val="003444A4"/>
    <w:rsid w:val="003520D2"/>
    <w:rsid w:val="00352795"/>
    <w:rsid w:val="0035512E"/>
    <w:rsid w:val="003562C2"/>
    <w:rsid w:val="00356DD7"/>
    <w:rsid w:val="00360319"/>
    <w:rsid w:val="00365AB1"/>
    <w:rsid w:val="00365B8C"/>
    <w:rsid w:val="00372B4D"/>
    <w:rsid w:val="00373983"/>
    <w:rsid w:val="00374033"/>
    <w:rsid w:val="00374387"/>
    <w:rsid w:val="003771F7"/>
    <w:rsid w:val="00383BA2"/>
    <w:rsid w:val="00384E66"/>
    <w:rsid w:val="00386E56"/>
    <w:rsid w:val="003909CE"/>
    <w:rsid w:val="00391045"/>
    <w:rsid w:val="00393EC6"/>
    <w:rsid w:val="00395D8C"/>
    <w:rsid w:val="003A03AE"/>
    <w:rsid w:val="003A525E"/>
    <w:rsid w:val="003B2967"/>
    <w:rsid w:val="003B41CD"/>
    <w:rsid w:val="003B7C7E"/>
    <w:rsid w:val="003C0604"/>
    <w:rsid w:val="003C15D8"/>
    <w:rsid w:val="003C3C3B"/>
    <w:rsid w:val="003C5519"/>
    <w:rsid w:val="003D133B"/>
    <w:rsid w:val="003D6AF2"/>
    <w:rsid w:val="003E3889"/>
    <w:rsid w:val="003E5646"/>
    <w:rsid w:val="003E60FA"/>
    <w:rsid w:val="003F3BF5"/>
    <w:rsid w:val="004009CC"/>
    <w:rsid w:val="004145D4"/>
    <w:rsid w:val="00414DF2"/>
    <w:rsid w:val="00415F61"/>
    <w:rsid w:val="004204BF"/>
    <w:rsid w:val="0042635F"/>
    <w:rsid w:val="00426E4E"/>
    <w:rsid w:val="00436F1C"/>
    <w:rsid w:val="00446F8F"/>
    <w:rsid w:val="00450D52"/>
    <w:rsid w:val="004672B1"/>
    <w:rsid w:val="00470B6A"/>
    <w:rsid w:val="00472155"/>
    <w:rsid w:val="00473530"/>
    <w:rsid w:val="00477F55"/>
    <w:rsid w:val="004832D6"/>
    <w:rsid w:val="004855C4"/>
    <w:rsid w:val="00485CF5"/>
    <w:rsid w:val="004907EE"/>
    <w:rsid w:val="00493220"/>
    <w:rsid w:val="004A11CD"/>
    <w:rsid w:val="004A2E93"/>
    <w:rsid w:val="004B11FC"/>
    <w:rsid w:val="004B33A1"/>
    <w:rsid w:val="004B48A8"/>
    <w:rsid w:val="004E4144"/>
    <w:rsid w:val="004E610D"/>
    <w:rsid w:val="004F5888"/>
    <w:rsid w:val="004F5C4F"/>
    <w:rsid w:val="004F608C"/>
    <w:rsid w:val="005024A1"/>
    <w:rsid w:val="005101B1"/>
    <w:rsid w:val="00511186"/>
    <w:rsid w:val="005125E5"/>
    <w:rsid w:val="005131B5"/>
    <w:rsid w:val="0051544D"/>
    <w:rsid w:val="005155AA"/>
    <w:rsid w:val="005159A3"/>
    <w:rsid w:val="005207BF"/>
    <w:rsid w:val="00521596"/>
    <w:rsid w:val="0052658A"/>
    <w:rsid w:val="005267C8"/>
    <w:rsid w:val="00530936"/>
    <w:rsid w:val="00531A9B"/>
    <w:rsid w:val="00531D6F"/>
    <w:rsid w:val="005465B4"/>
    <w:rsid w:val="0055121F"/>
    <w:rsid w:val="00552E36"/>
    <w:rsid w:val="005532FE"/>
    <w:rsid w:val="00556ACB"/>
    <w:rsid w:val="00556F43"/>
    <w:rsid w:val="005571FC"/>
    <w:rsid w:val="005572AC"/>
    <w:rsid w:val="00561987"/>
    <w:rsid w:val="00562A0B"/>
    <w:rsid w:val="00574330"/>
    <w:rsid w:val="00576315"/>
    <w:rsid w:val="0057662F"/>
    <w:rsid w:val="00576CAA"/>
    <w:rsid w:val="005846DB"/>
    <w:rsid w:val="00587BAC"/>
    <w:rsid w:val="00596805"/>
    <w:rsid w:val="00596CBD"/>
    <w:rsid w:val="0059716E"/>
    <w:rsid w:val="005A2E74"/>
    <w:rsid w:val="005A69C0"/>
    <w:rsid w:val="005C4DFD"/>
    <w:rsid w:val="005C509C"/>
    <w:rsid w:val="005C64E4"/>
    <w:rsid w:val="005C6A69"/>
    <w:rsid w:val="005C73CF"/>
    <w:rsid w:val="005C7E24"/>
    <w:rsid w:val="005E03EB"/>
    <w:rsid w:val="005E2141"/>
    <w:rsid w:val="005E2529"/>
    <w:rsid w:val="005E281B"/>
    <w:rsid w:val="005E574F"/>
    <w:rsid w:val="005F0165"/>
    <w:rsid w:val="006009B0"/>
    <w:rsid w:val="00603413"/>
    <w:rsid w:val="006123B9"/>
    <w:rsid w:val="006129BB"/>
    <w:rsid w:val="00614250"/>
    <w:rsid w:val="00614734"/>
    <w:rsid w:val="00617270"/>
    <w:rsid w:val="006271BD"/>
    <w:rsid w:val="00630269"/>
    <w:rsid w:val="00640514"/>
    <w:rsid w:val="00641756"/>
    <w:rsid w:val="00645FC3"/>
    <w:rsid w:val="00647678"/>
    <w:rsid w:val="00650564"/>
    <w:rsid w:val="006542BC"/>
    <w:rsid w:val="0065624F"/>
    <w:rsid w:val="006577A2"/>
    <w:rsid w:val="006600DF"/>
    <w:rsid w:val="00664A17"/>
    <w:rsid w:val="00664B00"/>
    <w:rsid w:val="00674594"/>
    <w:rsid w:val="00675018"/>
    <w:rsid w:val="00676C4E"/>
    <w:rsid w:val="006774B7"/>
    <w:rsid w:val="00681D75"/>
    <w:rsid w:val="00693398"/>
    <w:rsid w:val="00695633"/>
    <w:rsid w:val="006A1269"/>
    <w:rsid w:val="006A16A6"/>
    <w:rsid w:val="006A21E4"/>
    <w:rsid w:val="006A737D"/>
    <w:rsid w:val="006A7E0B"/>
    <w:rsid w:val="006B149D"/>
    <w:rsid w:val="006B36CD"/>
    <w:rsid w:val="006B4096"/>
    <w:rsid w:val="006B55C8"/>
    <w:rsid w:val="006B7A95"/>
    <w:rsid w:val="006B7DCA"/>
    <w:rsid w:val="006C0DFF"/>
    <w:rsid w:val="006C213B"/>
    <w:rsid w:val="006C3F60"/>
    <w:rsid w:val="006C585F"/>
    <w:rsid w:val="006C7EE7"/>
    <w:rsid w:val="006D6B64"/>
    <w:rsid w:val="006E359F"/>
    <w:rsid w:val="006E63C3"/>
    <w:rsid w:val="006F3633"/>
    <w:rsid w:val="006F4737"/>
    <w:rsid w:val="00700232"/>
    <w:rsid w:val="00704B6F"/>
    <w:rsid w:val="0070693B"/>
    <w:rsid w:val="007222D8"/>
    <w:rsid w:val="0072619A"/>
    <w:rsid w:val="00730553"/>
    <w:rsid w:val="00731162"/>
    <w:rsid w:val="00732835"/>
    <w:rsid w:val="00736101"/>
    <w:rsid w:val="00743609"/>
    <w:rsid w:val="00744816"/>
    <w:rsid w:val="00744FE7"/>
    <w:rsid w:val="00753F81"/>
    <w:rsid w:val="0076308A"/>
    <w:rsid w:val="0076506E"/>
    <w:rsid w:val="00777B0D"/>
    <w:rsid w:val="007809EB"/>
    <w:rsid w:val="0078552E"/>
    <w:rsid w:val="00785CF2"/>
    <w:rsid w:val="0079108A"/>
    <w:rsid w:val="007A06EF"/>
    <w:rsid w:val="007A1DDC"/>
    <w:rsid w:val="007A4970"/>
    <w:rsid w:val="007A64B6"/>
    <w:rsid w:val="007B2180"/>
    <w:rsid w:val="007B7D23"/>
    <w:rsid w:val="007C1789"/>
    <w:rsid w:val="007C3DC6"/>
    <w:rsid w:val="007C4D1A"/>
    <w:rsid w:val="007C595C"/>
    <w:rsid w:val="007D3138"/>
    <w:rsid w:val="007E749E"/>
    <w:rsid w:val="007F1300"/>
    <w:rsid w:val="007F3997"/>
    <w:rsid w:val="00802A88"/>
    <w:rsid w:val="00805617"/>
    <w:rsid w:val="008163B0"/>
    <w:rsid w:val="008219A9"/>
    <w:rsid w:val="008222A7"/>
    <w:rsid w:val="00824446"/>
    <w:rsid w:val="00824A30"/>
    <w:rsid w:val="00830516"/>
    <w:rsid w:val="00870D44"/>
    <w:rsid w:val="00877DE3"/>
    <w:rsid w:val="0088090F"/>
    <w:rsid w:val="00881C07"/>
    <w:rsid w:val="00886527"/>
    <w:rsid w:val="00886714"/>
    <w:rsid w:val="0089035F"/>
    <w:rsid w:val="00893593"/>
    <w:rsid w:val="00893BFC"/>
    <w:rsid w:val="008952E9"/>
    <w:rsid w:val="00895552"/>
    <w:rsid w:val="008A0314"/>
    <w:rsid w:val="008A54BA"/>
    <w:rsid w:val="008A57C8"/>
    <w:rsid w:val="008A6A3F"/>
    <w:rsid w:val="008B2F68"/>
    <w:rsid w:val="008B32E2"/>
    <w:rsid w:val="008B4FC8"/>
    <w:rsid w:val="008B5359"/>
    <w:rsid w:val="008B5936"/>
    <w:rsid w:val="008B774B"/>
    <w:rsid w:val="008B7921"/>
    <w:rsid w:val="008B7E6B"/>
    <w:rsid w:val="008D0B23"/>
    <w:rsid w:val="008D1166"/>
    <w:rsid w:val="008D1FF6"/>
    <w:rsid w:val="008D277E"/>
    <w:rsid w:val="008D333B"/>
    <w:rsid w:val="008D5C14"/>
    <w:rsid w:val="008D6B51"/>
    <w:rsid w:val="008D74F2"/>
    <w:rsid w:val="008E646B"/>
    <w:rsid w:val="008F0417"/>
    <w:rsid w:val="008F7AC5"/>
    <w:rsid w:val="009002C4"/>
    <w:rsid w:val="009134DD"/>
    <w:rsid w:val="00913A21"/>
    <w:rsid w:val="00916E63"/>
    <w:rsid w:val="0092275D"/>
    <w:rsid w:val="0092637C"/>
    <w:rsid w:val="00927311"/>
    <w:rsid w:val="0092770F"/>
    <w:rsid w:val="00927A81"/>
    <w:rsid w:val="00934B89"/>
    <w:rsid w:val="00934F7C"/>
    <w:rsid w:val="00940581"/>
    <w:rsid w:val="00940931"/>
    <w:rsid w:val="00955F5E"/>
    <w:rsid w:val="0096008B"/>
    <w:rsid w:val="009639B3"/>
    <w:rsid w:val="009646B4"/>
    <w:rsid w:val="00964E85"/>
    <w:rsid w:val="00973726"/>
    <w:rsid w:val="00973AAE"/>
    <w:rsid w:val="00974623"/>
    <w:rsid w:val="00976395"/>
    <w:rsid w:val="00977144"/>
    <w:rsid w:val="0097787E"/>
    <w:rsid w:val="00980BAE"/>
    <w:rsid w:val="00980DEF"/>
    <w:rsid w:val="009865AF"/>
    <w:rsid w:val="00987546"/>
    <w:rsid w:val="009879F3"/>
    <w:rsid w:val="00990EBE"/>
    <w:rsid w:val="00994887"/>
    <w:rsid w:val="009970D6"/>
    <w:rsid w:val="009B19A1"/>
    <w:rsid w:val="009B2CF0"/>
    <w:rsid w:val="009B4E3E"/>
    <w:rsid w:val="009B5731"/>
    <w:rsid w:val="009B6B46"/>
    <w:rsid w:val="009B751B"/>
    <w:rsid w:val="009C3385"/>
    <w:rsid w:val="009C55F2"/>
    <w:rsid w:val="009C7CBF"/>
    <w:rsid w:val="009D098A"/>
    <w:rsid w:val="009D5616"/>
    <w:rsid w:val="009F283F"/>
    <w:rsid w:val="009F5748"/>
    <w:rsid w:val="009F58F6"/>
    <w:rsid w:val="009F71E3"/>
    <w:rsid w:val="00A04524"/>
    <w:rsid w:val="00A106D2"/>
    <w:rsid w:val="00A116FB"/>
    <w:rsid w:val="00A13CDB"/>
    <w:rsid w:val="00A1477E"/>
    <w:rsid w:val="00A30549"/>
    <w:rsid w:val="00A42858"/>
    <w:rsid w:val="00A4569D"/>
    <w:rsid w:val="00A5465D"/>
    <w:rsid w:val="00A5576A"/>
    <w:rsid w:val="00A575C5"/>
    <w:rsid w:val="00A57808"/>
    <w:rsid w:val="00A62C6E"/>
    <w:rsid w:val="00A711D1"/>
    <w:rsid w:val="00A77DB6"/>
    <w:rsid w:val="00A82664"/>
    <w:rsid w:val="00A82FC2"/>
    <w:rsid w:val="00A96B2E"/>
    <w:rsid w:val="00AA270D"/>
    <w:rsid w:val="00AA4503"/>
    <w:rsid w:val="00AA5E9F"/>
    <w:rsid w:val="00AB234E"/>
    <w:rsid w:val="00AB6F8D"/>
    <w:rsid w:val="00AB77C7"/>
    <w:rsid w:val="00AC0292"/>
    <w:rsid w:val="00AC114F"/>
    <w:rsid w:val="00AC2713"/>
    <w:rsid w:val="00AC60D4"/>
    <w:rsid w:val="00AC678B"/>
    <w:rsid w:val="00AD0255"/>
    <w:rsid w:val="00AD718D"/>
    <w:rsid w:val="00AD736D"/>
    <w:rsid w:val="00AE08C2"/>
    <w:rsid w:val="00AE63DA"/>
    <w:rsid w:val="00AE6868"/>
    <w:rsid w:val="00AF0816"/>
    <w:rsid w:val="00AF21C1"/>
    <w:rsid w:val="00AF3C92"/>
    <w:rsid w:val="00AF5FFF"/>
    <w:rsid w:val="00B01930"/>
    <w:rsid w:val="00B02146"/>
    <w:rsid w:val="00B02CBF"/>
    <w:rsid w:val="00B040DE"/>
    <w:rsid w:val="00B06C08"/>
    <w:rsid w:val="00B10E06"/>
    <w:rsid w:val="00B1317F"/>
    <w:rsid w:val="00B14A3B"/>
    <w:rsid w:val="00B15CB0"/>
    <w:rsid w:val="00B16463"/>
    <w:rsid w:val="00B17A8D"/>
    <w:rsid w:val="00B222D1"/>
    <w:rsid w:val="00B24A5D"/>
    <w:rsid w:val="00B2583B"/>
    <w:rsid w:val="00B3509C"/>
    <w:rsid w:val="00B3530B"/>
    <w:rsid w:val="00B354F9"/>
    <w:rsid w:val="00B35E5D"/>
    <w:rsid w:val="00B369DC"/>
    <w:rsid w:val="00B40891"/>
    <w:rsid w:val="00B42160"/>
    <w:rsid w:val="00B43DAD"/>
    <w:rsid w:val="00B445DA"/>
    <w:rsid w:val="00B5266D"/>
    <w:rsid w:val="00B5418E"/>
    <w:rsid w:val="00B602FD"/>
    <w:rsid w:val="00B66124"/>
    <w:rsid w:val="00B662B0"/>
    <w:rsid w:val="00B66D99"/>
    <w:rsid w:val="00B70D24"/>
    <w:rsid w:val="00B72C2D"/>
    <w:rsid w:val="00B736AD"/>
    <w:rsid w:val="00B73870"/>
    <w:rsid w:val="00B7444F"/>
    <w:rsid w:val="00B745B7"/>
    <w:rsid w:val="00B746D3"/>
    <w:rsid w:val="00B765C1"/>
    <w:rsid w:val="00B8211B"/>
    <w:rsid w:val="00B83C20"/>
    <w:rsid w:val="00B84BC4"/>
    <w:rsid w:val="00B905CC"/>
    <w:rsid w:val="00B91C5B"/>
    <w:rsid w:val="00B93BC3"/>
    <w:rsid w:val="00B962E9"/>
    <w:rsid w:val="00B96429"/>
    <w:rsid w:val="00BA6DAF"/>
    <w:rsid w:val="00BA6F73"/>
    <w:rsid w:val="00BA74E8"/>
    <w:rsid w:val="00BB0B80"/>
    <w:rsid w:val="00BB1740"/>
    <w:rsid w:val="00BB37E7"/>
    <w:rsid w:val="00BB58F6"/>
    <w:rsid w:val="00BB672D"/>
    <w:rsid w:val="00BC5B9F"/>
    <w:rsid w:val="00BD10F5"/>
    <w:rsid w:val="00BE2F8D"/>
    <w:rsid w:val="00BF0CE6"/>
    <w:rsid w:val="00BF1F70"/>
    <w:rsid w:val="00BF2000"/>
    <w:rsid w:val="00BF28D2"/>
    <w:rsid w:val="00BF3CCB"/>
    <w:rsid w:val="00BF4D0F"/>
    <w:rsid w:val="00BF56C6"/>
    <w:rsid w:val="00C03489"/>
    <w:rsid w:val="00C03B30"/>
    <w:rsid w:val="00C05095"/>
    <w:rsid w:val="00C061E8"/>
    <w:rsid w:val="00C072E4"/>
    <w:rsid w:val="00C07953"/>
    <w:rsid w:val="00C07E70"/>
    <w:rsid w:val="00C30E1B"/>
    <w:rsid w:val="00C33538"/>
    <w:rsid w:val="00C33C22"/>
    <w:rsid w:val="00C33DA4"/>
    <w:rsid w:val="00C34038"/>
    <w:rsid w:val="00C36387"/>
    <w:rsid w:val="00C44A61"/>
    <w:rsid w:val="00C44CB2"/>
    <w:rsid w:val="00C46C9B"/>
    <w:rsid w:val="00C4797C"/>
    <w:rsid w:val="00C50211"/>
    <w:rsid w:val="00C508AD"/>
    <w:rsid w:val="00C50A9B"/>
    <w:rsid w:val="00C532CF"/>
    <w:rsid w:val="00C60942"/>
    <w:rsid w:val="00C63527"/>
    <w:rsid w:val="00C66A41"/>
    <w:rsid w:val="00C71120"/>
    <w:rsid w:val="00C814B6"/>
    <w:rsid w:val="00C81CBE"/>
    <w:rsid w:val="00C83D23"/>
    <w:rsid w:val="00C90718"/>
    <w:rsid w:val="00C92B26"/>
    <w:rsid w:val="00CA3900"/>
    <w:rsid w:val="00CA57FB"/>
    <w:rsid w:val="00CA658B"/>
    <w:rsid w:val="00CA6D77"/>
    <w:rsid w:val="00CB042C"/>
    <w:rsid w:val="00CB5A3B"/>
    <w:rsid w:val="00CB6A3E"/>
    <w:rsid w:val="00CC33D4"/>
    <w:rsid w:val="00CC5E07"/>
    <w:rsid w:val="00CD0D90"/>
    <w:rsid w:val="00CD2122"/>
    <w:rsid w:val="00CD4207"/>
    <w:rsid w:val="00CD7CCE"/>
    <w:rsid w:val="00CE160E"/>
    <w:rsid w:val="00CE6954"/>
    <w:rsid w:val="00CF0E85"/>
    <w:rsid w:val="00CF1908"/>
    <w:rsid w:val="00CF2785"/>
    <w:rsid w:val="00CF3933"/>
    <w:rsid w:val="00CF7D2E"/>
    <w:rsid w:val="00D07904"/>
    <w:rsid w:val="00D13E6B"/>
    <w:rsid w:val="00D14893"/>
    <w:rsid w:val="00D2645E"/>
    <w:rsid w:val="00D330C8"/>
    <w:rsid w:val="00D37B73"/>
    <w:rsid w:val="00D444A3"/>
    <w:rsid w:val="00D467EF"/>
    <w:rsid w:val="00D47634"/>
    <w:rsid w:val="00D60E45"/>
    <w:rsid w:val="00D659D6"/>
    <w:rsid w:val="00D81D92"/>
    <w:rsid w:val="00D83698"/>
    <w:rsid w:val="00D84313"/>
    <w:rsid w:val="00D85AB2"/>
    <w:rsid w:val="00D8614D"/>
    <w:rsid w:val="00D90226"/>
    <w:rsid w:val="00D906FE"/>
    <w:rsid w:val="00D913E2"/>
    <w:rsid w:val="00D929E2"/>
    <w:rsid w:val="00D96FB3"/>
    <w:rsid w:val="00DB595B"/>
    <w:rsid w:val="00DB69D1"/>
    <w:rsid w:val="00DB7470"/>
    <w:rsid w:val="00DC2CD7"/>
    <w:rsid w:val="00DD571E"/>
    <w:rsid w:val="00DE4B80"/>
    <w:rsid w:val="00DE64C1"/>
    <w:rsid w:val="00DF1729"/>
    <w:rsid w:val="00DF5220"/>
    <w:rsid w:val="00E012B8"/>
    <w:rsid w:val="00E05152"/>
    <w:rsid w:val="00E05622"/>
    <w:rsid w:val="00E10A91"/>
    <w:rsid w:val="00E12652"/>
    <w:rsid w:val="00E12E40"/>
    <w:rsid w:val="00E15617"/>
    <w:rsid w:val="00E24F18"/>
    <w:rsid w:val="00E2684E"/>
    <w:rsid w:val="00E31EE6"/>
    <w:rsid w:val="00E41600"/>
    <w:rsid w:val="00E4174C"/>
    <w:rsid w:val="00E426B9"/>
    <w:rsid w:val="00E43AF3"/>
    <w:rsid w:val="00E55003"/>
    <w:rsid w:val="00E5592A"/>
    <w:rsid w:val="00E60302"/>
    <w:rsid w:val="00E65C9D"/>
    <w:rsid w:val="00E82F38"/>
    <w:rsid w:val="00E85A80"/>
    <w:rsid w:val="00E91C9E"/>
    <w:rsid w:val="00E93889"/>
    <w:rsid w:val="00E93C3D"/>
    <w:rsid w:val="00E95FEF"/>
    <w:rsid w:val="00EB038E"/>
    <w:rsid w:val="00EB149B"/>
    <w:rsid w:val="00EC1813"/>
    <w:rsid w:val="00ED0F26"/>
    <w:rsid w:val="00ED2ECF"/>
    <w:rsid w:val="00ED38F8"/>
    <w:rsid w:val="00ED4186"/>
    <w:rsid w:val="00ED6D3E"/>
    <w:rsid w:val="00EE20B0"/>
    <w:rsid w:val="00EE4A8F"/>
    <w:rsid w:val="00EF191D"/>
    <w:rsid w:val="00F01797"/>
    <w:rsid w:val="00F12CBC"/>
    <w:rsid w:val="00F21CD7"/>
    <w:rsid w:val="00F2317C"/>
    <w:rsid w:val="00F363B2"/>
    <w:rsid w:val="00F50ACC"/>
    <w:rsid w:val="00F5236C"/>
    <w:rsid w:val="00F550A7"/>
    <w:rsid w:val="00F61624"/>
    <w:rsid w:val="00F6213C"/>
    <w:rsid w:val="00F62A10"/>
    <w:rsid w:val="00F62A73"/>
    <w:rsid w:val="00F65FD7"/>
    <w:rsid w:val="00F74420"/>
    <w:rsid w:val="00F772C8"/>
    <w:rsid w:val="00F806B8"/>
    <w:rsid w:val="00F81B50"/>
    <w:rsid w:val="00F824A9"/>
    <w:rsid w:val="00F878A0"/>
    <w:rsid w:val="00F96491"/>
    <w:rsid w:val="00FA0796"/>
    <w:rsid w:val="00FA1F35"/>
    <w:rsid w:val="00FA39B8"/>
    <w:rsid w:val="00FA50DF"/>
    <w:rsid w:val="00FB1BF3"/>
    <w:rsid w:val="00FB1D7F"/>
    <w:rsid w:val="00FB2CB8"/>
    <w:rsid w:val="00FB54FF"/>
    <w:rsid w:val="00FB6336"/>
    <w:rsid w:val="00FC3454"/>
    <w:rsid w:val="00FC6B0A"/>
    <w:rsid w:val="00FD252E"/>
    <w:rsid w:val="00FD3177"/>
    <w:rsid w:val="00FD6298"/>
    <w:rsid w:val="00FD6ACA"/>
    <w:rsid w:val="00FE13E8"/>
    <w:rsid w:val="00FF0637"/>
    <w:rsid w:val="00FF08AD"/>
    <w:rsid w:val="00FF509D"/>
    <w:rsid w:val="00FF735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50702"/>
  <w15:chartTrackingRefBased/>
  <w15:docId w15:val="{584B2C1E-8E55-485D-8214-A16792E36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85A8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369D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BodyText"/>
    <w:link w:val="Heading5Char"/>
    <w:uiPriority w:val="9"/>
    <w:unhideWhenUsed/>
    <w:qFormat/>
    <w:rsid w:val="003C3C3B"/>
    <w:pPr>
      <w:numPr>
        <w:ilvl w:val="2"/>
        <w:numId w:val="14"/>
      </w:numPr>
      <w:spacing w:after="0" w:line="240" w:lineRule="auto"/>
      <w:jc w:val="both"/>
      <w:outlineLvl w:val="4"/>
    </w:pPr>
    <w:rPr>
      <w:rFonts w:ascii="Times New Roman" w:eastAsia="Times New Roman" w:hAnsi="Times New Roman" w:cs="Times New Roman"/>
      <w:bCs/>
      <w:i/>
      <w:sz w:val="24"/>
      <w:szCs w:val="24"/>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023377"/>
    <w:pPr>
      <w:spacing w:after="0" w:line="240" w:lineRule="auto"/>
    </w:pPr>
    <w:rPr>
      <w:rFonts w:ascii="Times New Roman" w:hAnsi="Times New Roman"/>
      <w:sz w:val="24"/>
    </w:rPr>
  </w:style>
  <w:style w:type="paragraph" w:styleId="ListParagraph">
    <w:name w:val="List Paragraph"/>
    <w:basedOn w:val="Normal"/>
    <w:link w:val="ListParagraphChar"/>
    <w:uiPriority w:val="34"/>
    <w:qFormat/>
    <w:rsid w:val="00CA3900"/>
    <w:pPr>
      <w:ind w:left="720"/>
      <w:contextualSpacing/>
    </w:pPr>
  </w:style>
  <w:style w:type="paragraph" w:customStyle="1" w:styleId="Default">
    <w:name w:val="Default"/>
    <w:rsid w:val="00B83C20"/>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0A3FF0"/>
    <w:pPr>
      <w:tabs>
        <w:tab w:val="center" w:pos="4536"/>
        <w:tab w:val="right" w:pos="9072"/>
      </w:tabs>
      <w:spacing w:after="0" w:line="240" w:lineRule="auto"/>
    </w:pPr>
  </w:style>
  <w:style w:type="character" w:customStyle="1" w:styleId="HeaderChar">
    <w:name w:val="Header Char"/>
    <w:basedOn w:val="DefaultParagraphFont"/>
    <w:link w:val="Header"/>
    <w:uiPriority w:val="99"/>
    <w:rsid w:val="000A3FF0"/>
  </w:style>
  <w:style w:type="paragraph" w:styleId="Footer">
    <w:name w:val="footer"/>
    <w:basedOn w:val="Normal"/>
    <w:link w:val="FooterChar"/>
    <w:uiPriority w:val="99"/>
    <w:unhideWhenUsed/>
    <w:rsid w:val="000A3FF0"/>
    <w:pPr>
      <w:tabs>
        <w:tab w:val="center" w:pos="4536"/>
        <w:tab w:val="right" w:pos="9072"/>
      </w:tabs>
      <w:spacing w:after="0" w:line="240" w:lineRule="auto"/>
    </w:pPr>
  </w:style>
  <w:style w:type="character" w:customStyle="1" w:styleId="FooterChar">
    <w:name w:val="Footer Char"/>
    <w:basedOn w:val="DefaultParagraphFont"/>
    <w:link w:val="Footer"/>
    <w:uiPriority w:val="99"/>
    <w:rsid w:val="000A3FF0"/>
  </w:style>
  <w:style w:type="character" w:styleId="CommentReference">
    <w:name w:val="annotation reference"/>
    <w:basedOn w:val="DefaultParagraphFont"/>
    <w:uiPriority w:val="99"/>
    <w:semiHidden/>
    <w:unhideWhenUsed/>
    <w:rsid w:val="001A2A52"/>
    <w:rPr>
      <w:sz w:val="16"/>
      <w:szCs w:val="16"/>
    </w:rPr>
  </w:style>
  <w:style w:type="paragraph" w:styleId="CommentText">
    <w:name w:val="annotation text"/>
    <w:basedOn w:val="Normal"/>
    <w:link w:val="CommentTextChar"/>
    <w:uiPriority w:val="99"/>
    <w:semiHidden/>
    <w:unhideWhenUsed/>
    <w:rsid w:val="001A2A52"/>
    <w:pPr>
      <w:spacing w:line="240" w:lineRule="auto"/>
    </w:pPr>
    <w:rPr>
      <w:sz w:val="20"/>
      <w:szCs w:val="20"/>
    </w:rPr>
  </w:style>
  <w:style w:type="character" w:customStyle="1" w:styleId="CommentTextChar">
    <w:name w:val="Comment Text Char"/>
    <w:basedOn w:val="DefaultParagraphFont"/>
    <w:link w:val="CommentText"/>
    <w:uiPriority w:val="99"/>
    <w:semiHidden/>
    <w:rsid w:val="001A2A52"/>
    <w:rPr>
      <w:sz w:val="20"/>
      <w:szCs w:val="20"/>
    </w:rPr>
  </w:style>
  <w:style w:type="paragraph" w:styleId="CommentSubject">
    <w:name w:val="annotation subject"/>
    <w:basedOn w:val="CommentText"/>
    <w:next w:val="CommentText"/>
    <w:link w:val="CommentSubjectChar"/>
    <w:uiPriority w:val="99"/>
    <w:semiHidden/>
    <w:unhideWhenUsed/>
    <w:rsid w:val="001A2A52"/>
    <w:rPr>
      <w:b/>
      <w:bCs/>
    </w:rPr>
  </w:style>
  <w:style w:type="character" w:customStyle="1" w:styleId="CommentSubjectChar">
    <w:name w:val="Comment Subject Char"/>
    <w:basedOn w:val="CommentTextChar"/>
    <w:link w:val="CommentSubject"/>
    <w:uiPriority w:val="99"/>
    <w:semiHidden/>
    <w:rsid w:val="001A2A52"/>
    <w:rPr>
      <w:b/>
      <w:bCs/>
      <w:sz w:val="20"/>
      <w:szCs w:val="20"/>
    </w:rPr>
  </w:style>
  <w:style w:type="paragraph" w:styleId="BalloonText">
    <w:name w:val="Balloon Text"/>
    <w:basedOn w:val="Normal"/>
    <w:link w:val="BalloonTextChar"/>
    <w:uiPriority w:val="99"/>
    <w:semiHidden/>
    <w:unhideWhenUsed/>
    <w:rsid w:val="001A2A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2A52"/>
    <w:rPr>
      <w:rFonts w:ascii="Segoe UI" w:hAnsi="Segoe UI" w:cs="Segoe UI"/>
      <w:sz w:val="18"/>
      <w:szCs w:val="18"/>
    </w:rPr>
  </w:style>
  <w:style w:type="paragraph" w:styleId="FootnoteText">
    <w:name w:val="footnote text"/>
    <w:basedOn w:val="Normal"/>
    <w:link w:val="FootnoteTextChar"/>
    <w:uiPriority w:val="99"/>
    <w:semiHidden/>
    <w:unhideWhenUsed/>
    <w:rsid w:val="00ED0F2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D0F26"/>
    <w:rPr>
      <w:sz w:val="20"/>
      <w:szCs w:val="20"/>
    </w:rPr>
  </w:style>
  <w:style w:type="character" w:styleId="FootnoteReference">
    <w:name w:val="footnote reference"/>
    <w:basedOn w:val="DefaultParagraphFont"/>
    <w:uiPriority w:val="99"/>
    <w:semiHidden/>
    <w:unhideWhenUsed/>
    <w:rsid w:val="00ED0F26"/>
    <w:rPr>
      <w:vertAlign w:val="superscript"/>
    </w:rPr>
  </w:style>
  <w:style w:type="character" w:customStyle="1" w:styleId="Heading1Char">
    <w:name w:val="Heading 1 Char"/>
    <w:basedOn w:val="DefaultParagraphFont"/>
    <w:link w:val="Heading1"/>
    <w:uiPriority w:val="9"/>
    <w:rsid w:val="00E85A8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369DC"/>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CB6A3E"/>
    <w:rPr>
      <w:color w:val="0563C1" w:themeColor="hyperlink"/>
      <w:u w:val="single"/>
    </w:rPr>
  </w:style>
  <w:style w:type="paragraph" w:styleId="TOCHeading">
    <w:name w:val="TOC Heading"/>
    <w:basedOn w:val="Heading1"/>
    <w:next w:val="Normal"/>
    <w:uiPriority w:val="39"/>
    <w:unhideWhenUsed/>
    <w:qFormat/>
    <w:rsid w:val="0092637C"/>
    <w:pPr>
      <w:outlineLvl w:val="9"/>
    </w:pPr>
    <w:rPr>
      <w:lang w:val="en-US"/>
    </w:rPr>
  </w:style>
  <w:style w:type="paragraph" w:styleId="TOC1">
    <w:name w:val="toc 1"/>
    <w:basedOn w:val="Normal"/>
    <w:next w:val="Normal"/>
    <w:autoRedefine/>
    <w:uiPriority w:val="39"/>
    <w:unhideWhenUsed/>
    <w:rsid w:val="0092637C"/>
    <w:pPr>
      <w:spacing w:after="100"/>
    </w:pPr>
  </w:style>
  <w:style w:type="paragraph" w:styleId="TOC2">
    <w:name w:val="toc 2"/>
    <w:basedOn w:val="Normal"/>
    <w:next w:val="Normal"/>
    <w:autoRedefine/>
    <w:uiPriority w:val="39"/>
    <w:unhideWhenUsed/>
    <w:rsid w:val="0092637C"/>
    <w:pPr>
      <w:spacing w:after="100"/>
      <w:ind w:left="220"/>
    </w:pPr>
  </w:style>
  <w:style w:type="character" w:customStyle="1" w:styleId="Heading5Char">
    <w:name w:val="Heading 5 Char"/>
    <w:basedOn w:val="DefaultParagraphFont"/>
    <w:link w:val="Heading5"/>
    <w:uiPriority w:val="9"/>
    <w:rsid w:val="003C3C3B"/>
    <w:rPr>
      <w:rFonts w:ascii="Times New Roman" w:eastAsia="Times New Roman" w:hAnsi="Times New Roman" w:cs="Times New Roman"/>
      <w:bCs/>
      <w:i/>
      <w:sz w:val="24"/>
      <w:szCs w:val="24"/>
      <w:lang w:val="fr-BE"/>
    </w:rPr>
  </w:style>
  <w:style w:type="character" w:customStyle="1" w:styleId="ListParagraphChar">
    <w:name w:val="List Paragraph Char"/>
    <w:basedOn w:val="DefaultParagraphFont"/>
    <w:link w:val="ListParagraph"/>
    <w:uiPriority w:val="34"/>
    <w:rsid w:val="003C3C3B"/>
  </w:style>
  <w:style w:type="paragraph" w:styleId="BodyText">
    <w:name w:val="Body Text"/>
    <w:basedOn w:val="Normal"/>
    <w:link w:val="BodyTextChar"/>
    <w:uiPriority w:val="99"/>
    <w:semiHidden/>
    <w:unhideWhenUsed/>
    <w:rsid w:val="003C3C3B"/>
    <w:pPr>
      <w:spacing w:after="120"/>
    </w:pPr>
  </w:style>
  <w:style w:type="character" w:customStyle="1" w:styleId="BodyTextChar">
    <w:name w:val="Body Text Char"/>
    <w:basedOn w:val="DefaultParagraphFont"/>
    <w:link w:val="BodyText"/>
    <w:uiPriority w:val="99"/>
    <w:semiHidden/>
    <w:rsid w:val="003C3C3B"/>
  </w:style>
  <w:style w:type="table" w:styleId="TableGrid">
    <w:name w:val="Table Grid"/>
    <w:basedOn w:val="TableNormal"/>
    <w:uiPriority w:val="39"/>
    <w:rsid w:val="00A106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10E06"/>
    <w:rPr>
      <w:color w:val="605E5C"/>
      <w:shd w:val="clear" w:color="auto" w:fill="E1DFDD"/>
    </w:rPr>
  </w:style>
  <w:style w:type="character" w:customStyle="1" w:styleId="artikelversie">
    <w:name w:val="artikelversie"/>
    <w:basedOn w:val="DefaultParagraphFont"/>
    <w:rsid w:val="00043ADE"/>
  </w:style>
  <w:style w:type="paragraph" w:styleId="Revision">
    <w:name w:val="Revision"/>
    <w:hidden/>
    <w:uiPriority w:val="99"/>
    <w:semiHidden/>
    <w:rsid w:val="005155AA"/>
    <w:pPr>
      <w:spacing w:after="0" w:line="240" w:lineRule="auto"/>
    </w:pPr>
  </w:style>
  <w:style w:type="character" w:styleId="UnresolvedMention">
    <w:name w:val="Unresolved Mention"/>
    <w:basedOn w:val="DefaultParagraphFont"/>
    <w:uiPriority w:val="99"/>
    <w:semiHidden/>
    <w:unhideWhenUsed/>
    <w:rsid w:val="00CF7D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649910">
      <w:bodyDiv w:val="1"/>
      <w:marLeft w:val="0"/>
      <w:marRight w:val="0"/>
      <w:marTop w:val="0"/>
      <w:marBottom w:val="0"/>
      <w:divBdr>
        <w:top w:val="none" w:sz="0" w:space="0" w:color="auto"/>
        <w:left w:val="none" w:sz="0" w:space="0" w:color="auto"/>
        <w:bottom w:val="none" w:sz="0" w:space="0" w:color="auto"/>
        <w:right w:val="none" w:sz="0" w:space="0" w:color="auto"/>
      </w:divBdr>
    </w:div>
    <w:div w:id="178973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fin.vlaanderen.be/regelgeving-en-duiding"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tech@ibr-ire.be" TargetMode="External"/><Relationship Id="rId17" Type="http://schemas.openxmlformats.org/officeDocument/2006/relationships/customXml" Target="../customXml/item6.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E25E8087975C46B0FC438956121164" ma:contentTypeVersion="2" ma:contentTypeDescription="Create a new document." ma:contentTypeScope="" ma:versionID="34f11d3546bd096977dbc95a41afd969">
  <xsd:schema xmlns:xsd="http://www.w3.org/2001/XMLSchema" xmlns:xs="http://www.w3.org/2001/XMLSchema" xmlns:p="http://schemas.microsoft.com/office/2006/metadata/properties" xmlns:ns2="90359a4a-3ee0-4d21-9975-9d02abdd1639" xmlns:ns3="f6ec7a42-6e2f-4d0f-b526-c714e4aaa72f" targetNamespace="http://schemas.microsoft.com/office/2006/metadata/properties" ma:root="true" ma:fieldsID="ea5126d9115ec6df30a4af9484c1be9c" ns2:_="" ns3:_="">
    <xsd:import namespace="90359a4a-3ee0-4d21-9975-9d02abdd1639"/>
    <xsd:import namespace="f6ec7a42-6e2f-4d0f-b526-c714e4aaa72f"/>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59a4a-3ee0-4d21-9975-9d02abdd163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ec7a42-6e2f-4d0f-b526-c714e4aaa72f"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CREK xmlns="http://schemas.ccrek.document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pe:Receivers xmlns:spe="http://schemas.microsoft.com/sharepoint/events"/>
</file>

<file path=customXml/itemProps1.xml><?xml version="1.0" encoding="utf-8"?>
<ds:datastoreItem xmlns:ds="http://schemas.openxmlformats.org/officeDocument/2006/customXml" ds:itemID="{ECFFDA9B-910D-47EC-98C0-BAE56105C8D6}"/>
</file>

<file path=customXml/itemProps2.xml><?xml version="1.0" encoding="utf-8"?>
<ds:datastoreItem xmlns:ds="http://schemas.openxmlformats.org/officeDocument/2006/customXml" ds:itemID="{5F07361B-D7AA-4571-A483-620CAA8D219A}">
  <ds:schemaRefs>
    <ds:schemaRef ds:uri="http://schemas.ccrek.documents"/>
  </ds:schemaRefs>
</ds:datastoreItem>
</file>

<file path=customXml/itemProps3.xml><?xml version="1.0" encoding="utf-8"?>
<ds:datastoreItem xmlns:ds="http://schemas.openxmlformats.org/officeDocument/2006/customXml" ds:itemID="{A725A58F-30FF-4DA2-9C97-6E6E484AB7A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2FF9C64-CEBD-4265-9B4A-8380344A2647}">
  <ds:schemaRefs>
    <ds:schemaRef ds:uri="http://schemas.microsoft.com/sharepoint/v3/contenttype/forms"/>
  </ds:schemaRefs>
</ds:datastoreItem>
</file>

<file path=customXml/itemProps5.xml><?xml version="1.0" encoding="utf-8"?>
<ds:datastoreItem xmlns:ds="http://schemas.openxmlformats.org/officeDocument/2006/customXml" ds:itemID="{565C500E-4549-4FCA-9852-6EB7946C7A02}">
  <ds:schemaRefs>
    <ds:schemaRef ds:uri="http://schemas.openxmlformats.org/officeDocument/2006/bibliography"/>
  </ds:schemaRefs>
</ds:datastoreItem>
</file>

<file path=customXml/itemProps6.xml><?xml version="1.0" encoding="utf-8"?>
<ds:datastoreItem xmlns:ds="http://schemas.openxmlformats.org/officeDocument/2006/customXml" ds:itemID="{BEB9B222-B86B-4ED4-8C11-BE2744A17003}"/>
</file>

<file path=docProps/app.xml><?xml version="1.0" encoding="utf-8"?>
<Properties xmlns="http://schemas.openxmlformats.org/officeDocument/2006/extended-properties" xmlns:vt="http://schemas.openxmlformats.org/officeDocument/2006/docPropsVTypes">
  <Template>Normal</Template>
  <TotalTime>3</TotalTime>
  <Pages>1</Pages>
  <Words>2613</Words>
  <Characters>14899</Characters>
  <Application>Microsoft Office Word</Application>
  <DocSecurity>0</DocSecurity>
  <Lines>124</Lines>
  <Paragraphs>34</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Baker Tilly Belgium</Company>
  <LinksUpToDate>false</LinksUpToDate>
  <CharactersWithSpaces>17478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Guidance-compliance-VCO-102020-aangepast-10-12-2020-clean</dc:title>
  <dc:subject/>
  <dc:creator>Evelyne DE JONGHE</dc:creator>
  <cp:keywords/>
  <dc:description/>
  <cp:lastModifiedBy>Vanderstappen Erwin</cp:lastModifiedBy>
  <cp:revision>4</cp:revision>
  <cp:lastPrinted>2019-10-22T07:11:00Z</cp:lastPrinted>
  <dcterms:created xsi:type="dcterms:W3CDTF">2020-12-17T12:51:00Z</dcterms:created>
  <dcterms:modified xsi:type="dcterms:W3CDTF">2020-12-17T12:57:00Z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0x0101001BE25E8087975C46B0FC438956121164</vt:lpwstr>
  </property>
</Properties>
</file>