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85EB" w14:textId="77777777" w:rsidR="00CD221F" w:rsidRPr="003D1647" w:rsidRDefault="00C65218">
      <w:pPr>
        <w:pStyle w:val="Heading1"/>
        <w:spacing w:before="80"/>
        <w:rPr>
          <w:lang w:val="nl-BE"/>
        </w:rPr>
      </w:pPr>
      <w:r w:rsidRPr="003D1647">
        <w:rPr>
          <w:lang w:val="nl-BE"/>
        </w:rPr>
        <w:t>[NAAM EN RECHTSVORM VAN DE VENNOOTSCHAP]</w:t>
      </w:r>
    </w:p>
    <w:p w14:paraId="211D4EF5" w14:textId="77777777" w:rsidR="00CD221F" w:rsidRPr="003D1647" w:rsidRDefault="00CD221F">
      <w:pPr>
        <w:pStyle w:val="BodyText"/>
        <w:rPr>
          <w:b/>
          <w:sz w:val="24"/>
          <w:lang w:val="nl-BE"/>
        </w:rPr>
      </w:pPr>
    </w:p>
    <w:p w14:paraId="7C6AC486" w14:textId="4737EDBF" w:rsidR="00CD221F" w:rsidRPr="003D1647" w:rsidRDefault="00C65218">
      <w:pPr>
        <w:ind w:left="100" w:right="3324"/>
        <w:rPr>
          <w:b/>
          <w:sz w:val="24"/>
          <w:lang w:val="nl-BE"/>
        </w:rPr>
      </w:pPr>
      <w:r w:rsidRPr="003D1647">
        <w:rPr>
          <w:b/>
          <w:sz w:val="24"/>
          <w:lang w:val="nl-BE"/>
        </w:rPr>
        <w:t>Verslag van de commissaris aan de algemene vergadering van aandeelhouders</w:t>
      </w:r>
      <w:r w:rsidR="0089572D" w:rsidRPr="003D1647">
        <w:rPr>
          <w:b/>
          <w:sz w:val="24"/>
          <w:lang w:val="nl-BE"/>
        </w:rPr>
        <w:t>,</w:t>
      </w:r>
      <w:r w:rsidRPr="003D1647">
        <w:rPr>
          <w:b/>
          <w:sz w:val="24"/>
          <w:lang w:val="nl-BE"/>
        </w:rPr>
        <w:t xml:space="preserve"> </w:t>
      </w:r>
      <w:r w:rsidR="007B2E8B" w:rsidRPr="003D1647">
        <w:rPr>
          <w:b/>
          <w:sz w:val="24"/>
          <w:lang w:val="nl-BE"/>
        </w:rPr>
        <w:t xml:space="preserve">in overeenstemming met </w:t>
      </w:r>
      <w:r w:rsidRPr="003D1647">
        <w:rPr>
          <w:b/>
          <w:sz w:val="24"/>
          <w:lang w:val="nl-BE"/>
        </w:rPr>
        <w:t xml:space="preserve">artikel </w:t>
      </w:r>
      <w:r w:rsidR="0089572D" w:rsidRPr="003D1647">
        <w:rPr>
          <w:b/>
          <w:sz w:val="24"/>
          <w:lang w:val="nl-BE"/>
        </w:rPr>
        <w:t>4</w:t>
      </w:r>
      <w:r w:rsidRPr="003D1647">
        <w:rPr>
          <w:b/>
          <w:sz w:val="24"/>
          <w:lang w:val="nl-BE"/>
        </w:rPr>
        <w:t xml:space="preserve"> van </w:t>
      </w:r>
      <w:r w:rsidR="0089572D" w:rsidRPr="003D1647">
        <w:rPr>
          <w:b/>
          <w:sz w:val="24"/>
          <w:lang w:val="nl-BE"/>
        </w:rPr>
        <w:t>de Transparantierichtlijn</w:t>
      </w:r>
      <w:r w:rsidR="0089572D" w:rsidRPr="003D1647">
        <w:rPr>
          <w:rStyle w:val="FootnoteReference"/>
          <w:b/>
          <w:sz w:val="24"/>
          <w:lang w:val="nl-BE"/>
        </w:rPr>
        <w:footnoteReference w:id="1"/>
      </w:r>
      <w:r w:rsidR="0089572D" w:rsidRPr="003D1647">
        <w:rPr>
          <w:b/>
          <w:sz w:val="24"/>
          <w:lang w:val="nl-BE"/>
        </w:rPr>
        <w:t>,</w:t>
      </w:r>
      <w:r w:rsidRPr="003D1647">
        <w:rPr>
          <w:b/>
          <w:sz w:val="24"/>
          <w:lang w:val="nl-BE"/>
        </w:rPr>
        <w:t xml:space="preserve"> aangaande de overeenstemming van de geconsolideerde financiële overzichten in de vorm van een elektronisch bestand van [naam en rechtsvorm van de vennootschap] per xx xxxx 20xx met de ESEF-vereisten en taxonomie</w:t>
      </w:r>
      <w:r w:rsidR="0089572D" w:rsidRPr="003D1647">
        <w:rPr>
          <w:b/>
          <w:sz w:val="24"/>
          <w:lang w:val="nl-BE"/>
        </w:rPr>
        <w:t xml:space="preserve"> krachtens de Gedelegeerde Verorde</w:t>
      </w:r>
      <w:r w:rsidR="00B64B61" w:rsidRPr="003D1647">
        <w:rPr>
          <w:b/>
          <w:sz w:val="24"/>
          <w:lang w:val="nl-BE"/>
        </w:rPr>
        <w:t>n</w:t>
      </w:r>
      <w:r w:rsidR="0089572D" w:rsidRPr="003D1647">
        <w:rPr>
          <w:b/>
          <w:sz w:val="24"/>
          <w:lang w:val="nl-BE"/>
        </w:rPr>
        <w:t>ing (EU) 2018/815</w:t>
      </w:r>
      <w:r w:rsidR="0089572D" w:rsidRPr="003D1647">
        <w:rPr>
          <w:rStyle w:val="FootnoteReference"/>
          <w:b/>
          <w:sz w:val="24"/>
          <w:lang w:val="nl-BE"/>
        </w:rPr>
        <w:footnoteReference w:id="2"/>
      </w:r>
      <w:r w:rsidR="0089572D" w:rsidRPr="003D1647">
        <w:rPr>
          <w:b/>
          <w:sz w:val="24"/>
          <w:lang w:val="nl-BE"/>
        </w:rPr>
        <w:t>.</w:t>
      </w:r>
    </w:p>
    <w:p w14:paraId="27023960" w14:textId="77777777" w:rsidR="00CD221F" w:rsidRPr="003D1647" w:rsidRDefault="00CD221F">
      <w:pPr>
        <w:pStyle w:val="BodyText"/>
        <w:rPr>
          <w:b/>
          <w:sz w:val="26"/>
          <w:lang w:val="nl-BE"/>
        </w:rPr>
      </w:pPr>
    </w:p>
    <w:p w14:paraId="1B5FD28C" w14:textId="77777777" w:rsidR="00CD221F" w:rsidRPr="003D1647" w:rsidRDefault="00CD221F">
      <w:pPr>
        <w:pStyle w:val="BodyText"/>
        <w:spacing w:before="9"/>
        <w:rPr>
          <w:b/>
          <w:sz w:val="21"/>
          <w:lang w:val="nl-BE"/>
        </w:rPr>
      </w:pPr>
    </w:p>
    <w:p w14:paraId="61BA5E0A" w14:textId="5198BD0F" w:rsidR="00CD221F" w:rsidRPr="00C65218" w:rsidRDefault="00C65218" w:rsidP="00B64B61">
      <w:pPr>
        <w:spacing w:before="1"/>
        <w:ind w:left="100"/>
        <w:rPr>
          <w:sz w:val="24"/>
          <w:lang w:val="nl-BE"/>
        </w:rPr>
        <w:sectPr w:rsidR="00CD221F" w:rsidRPr="00C65218">
          <w:type w:val="continuous"/>
          <w:pgSz w:w="12240" w:h="15840"/>
          <w:pgMar w:top="1360" w:right="720" w:bottom="280" w:left="1340" w:header="720" w:footer="720" w:gutter="0"/>
          <w:cols w:space="720"/>
        </w:sectPr>
      </w:pPr>
      <w:r w:rsidRPr="003D1647">
        <w:rPr>
          <w:sz w:val="24"/>
          <w:lang w:val="nl-BE"/>
        </w:rPr>
        <w:t>[datum]</w:t>
      </w:r>
    </w:p>
    <w:p w14:paraId="45B697D3" w14:textId="77777777" w:rsidR="00CD221F" w:rsidRPr="00C65218" w:rsidRDefault="00CD221F">
      <w:pPr>
        <w:pStyle w:val="BodyText"/>
        <w:rPr>
          <w:lang w:val="nl-BE"/>
        </w:rPr>
      </w:pPr>
    </w:p>
    <w:p w14:paraId="08EB4C9A" w14:textId="77777777" w:rsidR="00CD221F" w:rsidRPr="00C65218" w:rsidRDefault="00CD221F">
      <w:pPr>
        <w:pStyle w:val="BodyText"/>
        <w:rPr>
          <w:lang w:val="nl-BE"/>
        </w:rPr>
      </w:pPr>
    </w:p>
    <w:p w14:paraId="296CBD43" w14:textId="1FDA9D27" w:rsidR="00CD221F" w:rsidRDefault="00CD221F">
      <w:pPr>
        <w:pStyle w:val="BodyText"/>
        <w:spacing w:before="1"/>
        <w:rPr>
          <w:lang w:val="nl-BE"/>
        </w:rPr>
      </w:pPr>
    </w:p>
    <w:p w14:paraId="20CBA86D" w14:textId="40092D79" w:rsidR="00B64B61" w:rsidRDefault="00B64B61">
      <w:pPr>
        <w:pStyle w:val="BodyText"/>
        <w:spacing w:before="1"/>
        <w:rPr>
          <w:lang w:val="nl-BE"/>
        </w:rPr>
      </w:pPr>
    </w:p>
    <w:p w14:paraId="3B22468F" w14:textId="77777777" w:rsidR="00B64B61" w:rsidRPr="00C65218" w:rsidRDefault="00B64B61">
      <w:pPr>
        <w:pStyle w:val="BodyText"/>
        <w:spacing w:before="1"/>
        <w:rPr>
          <w:sz w:val="22"/>
          <w:lang w:val="nl-BE"/>
        </w:rPr>
      </w:pPr>
    </w:p>
    <w:p w14:paraId="4BA58157" w14:textId="2ECF633F" w:rsidR="00CD221F" w:rsidRPr="003D1647" w:rsidRDefault="00C65218">
      <w:pPr>
        <w:pStyle w:val="Heading2"/>
        <w:ind w:right="148"/>
        <w:rPr>
          <w:lang w:val="nl-BE"/>
        </w:rPr>
      </w:pPr>
      <w:r w:rsidRPr="00C65218">
        <w:rPr>
          <w:lang w:val="nl-BE"/>
        </w:rPr>
        <w:t xml:space="preserve">VERSLAG VAN DE COMMISSARIS AAN </w:t>
      </w:r>
      <w:r w:rsidRPr="00C65218">
        <w:rPr>
          <w:spacing w:val="-4"/>
          <w:lang w:val="nl-BE"/>
        </w:rPr>
        <w:t xml:space="preserve">DE </w:t>
      </w:r>
      <w:r w:rsidRPr="00C65218">
        <w:rPr>
          <w:lang w:val="nl-BE"/>
        </w:rPr>
        <w:t>ALGEMENE VERGADERING VAN AANDEELHOUDERS</w:t>
      </w:r>
      <w:r w:rsidR="0089572D">
        <w:rPr>
          <w:lang w:val="nl-BE"/>
        </w:rPr>
        <w:t>,</w:t>
      </w:r>
      <w:r w:rsidRPr="00C65218">
        <w:rPr>
          <w:lang w:val="nl-BE"/>
        </w:rPr>
        <w:t xml:space="preserve"> </w:t>
      </w:r>
      <w:r w:rsidR="007B2E8B">
        <w:rPr>
          <w:lang w:val="nl-BE"/>
        </w:rPr>
        <w:t>IN OVEREENSTEMMING MET</w:t>
      </w:r>
      <w:r w:rsidRPr="00C65218">
        <w:rPr>
          <w:lang w:val="nl-BE"/>
        </w:rPr>
        <w:t xml:space="preserve"> ARTIKEL </w:t>
      </w:r>
      <w:r w:rsidR="0089572D">
        <w:rPr>
          <w:lang w:val="nl-BE"/>
        </w:rPr>
        <w:t>4</w:t>
      </w:r>
      <w:r w:rsidRPr="00C65218">
        <w:rPr>
          <w:lang w:val="nl-BE"/>
        </w:rPr>
        <w:t xml:space="preserve"> </w:t>
      </w:r>
      <w:r w:rsidR="0089572D">
        <w:rPr>
          <w:lang w:val="nl-BE"/>
        </w:rPr>
        <w:t>VAN DE TRANSPARANTIERICHTLIJN</w:t>
      </w:r>
      <w:r w:rsidR="0089572D">
        <w:rPr>
          <w:rStyle w:val="FootnoteReference"/>
          <w:lang w:val="nl-BE"/>
        </w:rPr>
        <w:footnoteReference w:id="3"/>
      </w:r>
      <w:r w:rsidR="0089572D">
        <w:rPr>
          <w:lang w:val="nl-BE"/>
        </w:rPr>
        <w:t xml:space="preserve">, </w:t>
      </w:r>
      <w:r w:rsidRPr="00C65218">
        <w:rPr>
          <w:lang w:val="nl-BE"/>
        </w:rPr>
        <w:t xml:space="preserve">AANGAANDE </w:t>
      </w:r>
      <w:r w:rsidRPr="00C65218">
        <w:rPr>
          <w:spacing w:val="-4"/>
          <w:lang w:val="nl-BE"/>
        </w:rPr>
        <w:t xml:space="preserve">DE </w:t>
      </w:r>
      <w:r w:rsidRPr="003D1647">
        <w:rPr>
          <w:lang w:val="nl-BE"/>
        </w:rPr>
        <w:t>OVEREENSTEMMING VAN DE GECONSOLIDEERDE FINANCIÊLE OVERZICHTEN IN DE VORM VAN EEN ELEKTRONISCH BESTAND VAN [NAAM EN RECHTSVORM VAN DE VENNOOTSCHAP] PER XX XXXX 20XX MET DE ESEF-VEREISTEN EN</w:t>
      </w:r>
      <w:r w:rsidRPr="003D1647">
        <w:rPr>
          <w:spacing w:val="-23"/>
          <w:lang w:val="nl-BE"/>
        </w:rPr>
        <w:t xml:space="preserve"> </w:t>
      </w:r>
      <w:r w:rsidRPr="003D1647">
        <w:rPr>
          <w:lang w:val="nl-BE"/>
        </w:rPr>
        <w:t>TAXONOMIE</w:t>
      </w:r>
      <w:r w:rsidR="0089572D" w:rsidRPr="003D1647">
        <w:rPr>
          <w:lang w:val="nl-BE"/>
        </w:rPr>
        <w:t xml:space="preserve"> KRACHTENS DE GEDELEGEERDE VERORDE</w:t>
      </w:r>
      <w:r w:rsidR="00B64B61" w:rsidRPr="003D1647">
        <w:rPr>
          <w:lang w:val="nl-BE"/>
        </w:rPr>
        <w:t>N</w:t>
      </w:r>
      <w:r w:rsidR="0089572D" w:rsidRPr="003D1647">
        <w:rPr>
          <w:lang w:val="nl-BE"/>
        </w:rPr>
        <w:t>ING (EU) 2018/815</w:t>
      </w:r>
      <w:r w:rsidR="0089572D" w:rsidRPr="003D1647">
        <w:rPr>
          <w:rStyle w:val="FootnoteReference"/>
          <w:lang w:val="nl-BE"/>
        </w:rPr>
        <w:footnoteReference w:id="4"/>
      </w:r>
      <w:r w:rsidRPr="003D1647">
        <w:rPr>
          <w:lang w:val="nl-BE"/>
        </w:rPr>
        <w:t>.</w:t>
      </w:r>
    </w:p>
    <w:p w14:paraId="275FC3D1" w14:textId="1D8F4054" w:rsidR="00CD221F" w:rsidRPr="003D1647" w:rsidRDefault="00364683">
      <w:pPr>
        <w:pStyle w:val="BodyText"/>
        <w:spacing w:before="6"/>
        <w:rPr>
          <w:b/>
          <w:sz w:val="18"/>
          <w:lang w:val="nl-BE"/>
        </w:rPr>
      </w:pPr>
      <w:r w:rsidRPr="003D1647">
        <w:rPr>
          <w:noProof/>
          <w:lang w:val="nl-BE"/>
        </w:rPr>
        <mc:AlternateContent>
          <mc:Choice Requires="wps">
            <w:drawing>
              <wp:anchor distT="0" distB="0" distL="0" distR="0" simplePos="0" relativeHeight="251658240" behindDoc="1" locked="0" layoutInCell="1" allowOverlap="1" wp14:anchorId="39D1A332" wp14:editId="3085F185">
                <wp:simplePos x="0" y="0"/>
                <wp:positionH relativeFrom="page">
                  <wp:posOffset>1243330</wp:posOffset>
                </wp:positionH>
                <wp:positionV relativeFrom="paragraph">
                  <wp:posOffset>163195</wp:posOffset>
                </wp:positionV>
                <wp:extent cx="60077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735" cy="1270"/>
                        </a:xfrm>
                        <a:custGeom>
                          <a:avLst/>
                          <a:gdLst>
                            <a:gd name="T0" fmla="+- 0 1958 1958"/>
                            <a:gd name="T1" fmla="*/ T0 w 9461"/>
                            <a:gd name="T2" fmla="+- 0 11419 1958"/>
                            <a:gd name="T3" fmla="*/ T2 w 9461"/>
                          </a:gdLst>
                          <a:ahLst/>
                          <a:cxnLst>
                            <a:cxn ang="0">
                              <a:pos x="T1" y="0"/>
                            </a:cxn>
                            <a:cxn ang="0">
                              <a:pos x="T3" y="0"/>
                            </a:cxn>
                          </a:cxnLst>
                          <a:rect l="0" t="0" r="r" b="b"/>
                          <a:pathLst>
                            <a:path w="9461">
                              <a:moveTo>
                                <a:pt x="0" y="0"/>
                              </a:moveTo>
                              <a:lnTo>
                                <a:pt x="94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F12B" id="Freeform 3" o:spid="_x0000_s1026" style="position:absolute;margin-left:97.9pt;margin-top:12.85pt;width:473.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" path="m,l9461,e" filled="f" strokeweight=".48pt">
                <v:path arrowok="t" o:connecttype="custom" o:connectlocs="0,0;6007735,0" o:connectangles="0,0"/>
                <w10:wrap type="topAndBottom" anchorx="page"/>
              </v:shape>
            </w:pict>
          </mc:Fallback>
        </mc:AlternateContent>
      </w:r>
    </w:p>
    <w:p w14:paraId="1FE80145" w14:textId="77777777" w:rsidR="00CD221F" w:rsidRPr="003D1647" w:rsidRDefault="00CD221F">
      <w:pPr>
        <w:pStyle w:val="BodyText"/>
        <w:spacing w:before="2"/>
        <w:rPr>
          <w:b/>
          <w:sz w:val="29"/>
          <w:lang w:val="nl-BE"/>
        </w:rPr>
      </w:pPr>
    </w:p>
    <w:p w14:paraId="22856D77" w14:textId="77777777" w:rsidR="00CD221F" w:rsidRPr="003D1647" w:rsidRDefault="00C65218">
      <w:pPr>
        <w:spacing w:before="95"/>
        <w:ind w:left="647"/>
        <w:rPr>
          <w:b/>
          <w:sz w:val="20"/>
          <w:lang w:val="nl-BE"/>
        </w:rPr>
      </w:pPr>
      <w:r w:rsidRPr="003D1647">
        <w:rPr>
          <w:b/>
          <w:sz w:val="20"/>
          <w:lang w:val="nl-BE"/>
        </w:rPr>
        <w:t>Opdracht</w:t>
      </w:r>
    </w:p>
    <w:p w14:paraId="73C526F3" w14:textId="77777777" w:rsidR="00CD221F" w:rsidRPr="003D1647" w:rsidRDefault="00CD221F">
      <w:pPr>
        <w:pStyle w:val="BodyText"/>
        <w:spacing w:before="1"/>
        <w:rPr>
          <w:b/>
          <w:lang w:val="nl-BE"/>
        </w:rPr>
      </w:pPr>
    </w:p>
    <w:p w14:paraId="6D74255F" w14:textId="7841BA55" w:rsidR="00CD221F" w:rsidRPr="003D1647" w:rsidRDefault="00C65218">
      <w:pPr>
        <w:pStyle w:val="BodyText"/>
        <w:ind w:left="646" w:right="692"/>
        <w:jc w:val="both"/>
        <w:rPr>
          <w:lang w:val="nl-BE"/>
        </w:rPr>
      </w:pPr>
      <w:r w:rsidRPr="003D1647">
        <w:rPr>
          <w:lang w:val="nl-BE"/>
        </w:rPr>
        <w:t xml:space="preserve">Overeenkomstig artikel </w:t>
      </w:r>
      <w:r w:rsidR="00B64B61" w:rsidRPr="003D1647">
        <w:rPr>
          <w:lang w:val="nl-BE"/>
        </w:rPr>
        <w:t>4</w:t>
      </w:r>
      <w:r w:rsidRPr="003D1647">
        <w:rPr>
          <w:lang w:val="nl-BE"/>
        </w:rPr>
        <w:t xml:space="preserve"> van </w:t>
      </w:r>
      <w:r w:rsidR="00B64B61" w:rsidRPr="003D1647">
        <w:rPr>
          <w:lang w:val="nl-BE"/>
        </w:rPr>
        <w:t>de Transparantierichtlijn</w:t>
      </w:r>
      <w:r w:rsidR="00B64B61" w:rsidRPr="003D1647">
        <w:rPr>
          <w:rStyle w:val="FootnoteReference"/>
          <w:lang w:val="nl-BE"/>
        </w:rPr>
        <w:footnoteReference w:id="5"/>
      </w:r>
      <w:r w:rsidRPr="003D1647">
        <w:rPr>
          <w:lang w:val="nl-BE"/>
        </w:rPr>
        <w:t>, bestaat de opdracht van de commissarissen eruit verslag uit te brengen over de markeertaal XBRL van de digitale geconsolideerde financiële overzichten</w:t>
      </w:r>
      <w:r w:rsidR="00B64B61" w:rsidRPr="003D1647">
        <w:rPr>
          <w:lang w:val="nl-BE"/>
        </w:rPr>
        <w:t xml:space="preserve"> in de vorm van een elektronisch bestand (hierna “digitale geconsolideerde financiële overzichten”)</w:t>
      </w:r>
      <w:r w:rsidRPr="003D1647">
        <w:rPr>
          <w:lang w:val="nl-BE"/>
        </w:rPr>
        <w:t xml:space="preserve"> in overeenstemming met de ESEF-vereisten en taxonomie (meer bepaald de van kracht zijnde bepalingen zoals vastgelegd in de</w:t>
      </w:r>
      <w:r w:rsidR="00361168" w:rsidRPr="003D1647">
        <w:rPr>
          <w:lang w:val="nl-BE"/>
        </w:rPr>
        <w:t xml:space="preserve"> ESEF technische</w:t>
      </w:r>
      <w:r w:rsidR="00361168" w:rsidRPr="003D1647">
        <w:rPr>
          <w:spacing w:val="-9"/>
          <w:lang w:val="nl-BE"/>
        </w:rPr>
        <w:t xml:space="preserve"> </w:t>
      </w:r>
      <w:r w:rsidR="00361168" w:rsidRPr="003D1647">
        <w:rPr>
          <w:lang w:val="nl-BE"/>
        </w:rPr>
        <w:t>reguleringsnormen (</w:t>
      </w:r>
      <w:r w:rsidRPr="003D1647">
        <w:rPr>
          <w:lang w:val="nl-BE"/>
        </w:rPr>
        <w:t>ESEF Regulatory Technical Standard</w:t>
      </w:r>
      <w:r w:rsidR="00361168" w:rsidRPr="003D1647">
        <w:rPr>
          <w:lang w:val="nl-BE"/>
        </w:rPr>
        <w:t xml:space="preserve">, </w:t>
      </w:r>
      <w:r w:rsidRPr="003D1647">
        <w:rPr>
          <w:i/>
          <w:lang w:val="nl-BE"/>
        </w:rPr>
        <w:t xml:space="preserve">“ESEF RTS”) </w:t>
      </w:r>
      <w:r w:rsidRPr="003D1647">
        <w:rPr>
          <w:lang w:val="nl-BE"/>
        </w:rPr>
        <w:t xml:space="preserve">van toepassing op de digitale geconsolideerde financiële overzichten per </w:t>
      </w:r>
      <w:r w:rsidR="003D1647">
        <w:rPr>
          <w:lang w:val="nl-BE"/>
        </w:rPr>
        <w:t>xx</w:t>
      </w:r>
      <w:r w:rsidRPr="003D1647">
        <w:rPr>
          <w:lang w:val="nl-BE"/>
        </w:rPr>
        <w:t xml:space="preserve"> </w:t>
      </w:r>
      <w:r w:rsidR="003D1647">
        <w:rPr>
          <w:lang w:val="nl-BE"/>
        </w:rPr>
        <w:t>xxxx</w:t>
      </w:r>
      <w:r w:rsidRPr="003D1647">
        <w:rPr>
          <w:lang w:val="nl-BE"/>
        </w:rPr>
        <w:t xml:space="preserve"> 20</w:t>
      </w:r>
      <w:r w:rsidR="003D1647">
        <w:rPr>
          <w:lang w:val="nl-BE"/>
        </w:rPr>
        <w:t>xx</w:t>
      </w:r>
      <w:r w:rsidRPr="003D1647">
        <w:rPr>
          <w:lang w:val="nl-BE"/>
        </w:rPr>
        <w:t>)).</w:t>
      </w:r>
    </w:p>
    <w:p w14:paraId="1BCA9956" w14:textId="77777777" w:rsidR="00CD221F" w:rsidRPr="003D1647" w:rsidRDefault="00CD221F">
      <w:pPr>
        <w:pStyle w:val="BodyText"/>
        <w:rPr>
          <w:sz w:val="22"/>
          <w:lang w:val="nl-BE"/>
        </w:rPr>
      </w:pPr>
    </w:p>
    <w:p w14:paraId="46693A67" w14:textId="77777777" w:rsidR="00CD221F" w:rsidRPr="003D1647" w:rsidRDefault="00CD221F">
      <w:pPr>
        <w:pStyle w:val="BodyText"/>
        <w:spacing w:before="11"/>
        <w:rPr>
          <w:sz w:val="17"/>
          <w:lang w:val="nl-BE"/>
        </w:rPr>
      </w:pPr>
    </w:p>
    <w:p w14:paraId="4DF26A2B" w14:textId="1E90102A" w:rsidR="00CD221F" w:rsidRPr="003D1647" w:rsidRDefault="00C65218">
      <w:pPr>
        <w:pStyle w:val="Heading2"/>
        <w:ind w:left="646"/>
        <w:rPr>
          <w:lang w:val="nl-BE"/>
        </w:rPr>
      </w:pPr>
      <w:r w:rsidRPr="003D1647">
        <w:rPr>
          <w:lang w:val="nl-BE"/>
        </w:rPr>
        <w:t xml:space="preserve">Verantwoordelijkheden van </w:t>
      </w:r>
      <w:r w:rsidR="00364683" w:rsidRPr="003D1647">
        <w:rPr>
          <w:lang w:val="nl-BE"/>
        </w:rPr>
        <w:t xml:space="preserve">het </w:t>
      </w:r>
      <w:r w:rsidRPr="003D1647">
        <w:rPr>
          <w:lang w:val="nl-BE"/>
        </w:rPr>
        <w:t>bestuur</w:t>
      </w:r>
      <w:r w:rsidR="00364683" w:rsidRPr="003D1647">
        <w:rPr>
          <w:lang w:val="nl-BE"/>
        </w:rPr>
        <w:t>sorgaan</w:t>
      </w:r>
      <w:r w:rsidRPr="003D1647">
        <w:rPr>
          <w:lang w:val="nl-BE"/>
        </w:rPr>
        <w:t xml:space="preserve"> [</w:t>
      </w:r>
      <w:r w:rsidR="00364683" w:rsidRPr="003D1647">
        <w:rPr>
          <w:lang w:val="nl-BE"/>
        </w:rPr>
        <w:t xml:space="preserve">de </w:t>
      </w:r>
      <w:r w:rsidRPr="003D1647">
        <w:rPr>
          <w:lang w:val="nl-BE"/>
        </w:rPr>
        <w:t>bestuurder(s)]*</w:t>
      </w:r>
    </w:p>
    <w:p w14:paraId="67DFCAE9" w14:textId="77777777" w:rsidR="00CD221F" w:rsidRPr="003D1647" w:rsidRDefault="00CD221F">
      <w:pPr>
        <w:pStyle w:val="BodyText"/>
        <w:spacing w:before="1"/>
        <w:rPr>
          <w:b/>
          <w:lang w:val="nl-BE"/>
        </w:rPr>
      </w:pPr>
    </w:p>
    <w:p w14:paraId="0F783DF0" w14:textId="54D84FA3" w:rsidR="00CD221F" w:rsidRPr="00C65218" w:rsidRDefault="00364683">
      <w:pPr>
        <w:pStyle w:val="BodyText"/>
        <w:ind w:left="646" w:right="692"/>
        <w:jc w:val="both"/>
        <w:rPr>
          <w:lang w:val="nl-BE"/>
        </w:rPr>
      </w:pPr>
      <w:r w:rsidRPr="003D1647">
        <w:rPr>
          <w:lang w:val="nl-BE"/>
        </w:rPr>
        <w:t xml:space="preserve">Het </w:t>
      </w:r>
      <w:r w:rsidR="00C65218" w:rsidRPr="003D1647">
        <w:rPr>
          <w:lang w:val="nl-BE"/>
        </w:rPr>
        <w:t>bestuur</w:t>
      </w:r>
      <w:r w:rsidRPr="003D1647">
        <w:rPr>
          <w:lang w:val="nl-BE"/>
        </w:rPr>
        <w:t>sorgaan</w:t>
      </w:r>
      <w:r w:rsidR="00C65218" w:rsidRPr="003D1647">
        <w:rPr>
          <w:lang w:val="nl-BE"/>
        </w:rPr>
        <w:t xml:space="preserve"> [</w:t>
      </w:r>
      <w:r w:rsidRPr="003D1647">
        <w:rPr>
          <w:lang w:val="nl-BE"/>
        </w:rPr>
        <w:t xml:space="preserve">De </w:t>
      </w:r>
      <w:r w:rsidR="00C65218" w:rsidRPr="003D1647">
        <w:rPr>
          <w:lang w:val="nl-BE"/>
        </w:rPr>
        <w:t xml:space="preserve">bestuurder(s)]* is [zijn]* verantwoordelijk voor het opstellen van de digitale geconsolideerde financiële overzichten in overeenstemming met de ESEF-vereisten en taxonomie (meerbepaald de van kracht zijnde bepalingen zoals vastgelegd in </w:t>
      </w:r>
      <w:r w:rsidR="00361168" w:rsidRPr="003D1647">
        <w:rPr>
          <w:lang w:val="nl-BE"/>
        </w:rPr>
        <w:t>de ESEF technische</w:t>
      </w:r>
      <w:r w:rsidR="00361168" w:rsidRPr="003D1647">
        <w:rPr>
          <w:spacing w:val="-9"/>
          <w:lang w:val="nl-BE"/>
        </w:rPr>
        <w:t xml:space="preserve"> </w:t>
      </w:r>
      <w:r w:rsidR="00361168" w:rsidRPr="003D1647">
        <w:rPr>
          <w:lang w:val="nl-BE"/>
        </w:rPr>
        <w:t>reguleringsnormen</w:t>
      </w:r>
      <w:r w:rsidR="00C65218" w:rsidRPr="003D1647">
        <w:rPr>
          <w:lang w:val="nl-BE"/>
        </w:rPr>
        <w:t xml:space="preserve"> </w:t>
      </w:r>
      <w:r w:rsidR="00361168" w:rsidRPr="003D1647">
        <w:rPr>
          <w:lang w:val="nl-BE"/>
        </w:rPr>
        <w:t>(</w:t>
      </w:r>
      <w:r w:rsidR="00C65218" w:rsidRPr="003D1647">
        <w:rPr>
          <w:lang w:val="nl-BE"/>
        </w:rPr>
        <w:t>ESEF Regulatory Technical Standard</w:t>
      </w:r>
      <w:r w:rsidR="00361168" w:rsidRPr="003D1647">
        <w:rPr>
          <w:spacing w:val="-11"/>
          <w:lang w:val="nl-BE"/>
        </w:rPr>
        <w:t xml:space="preserve">, </w:t>
      </w:r>
      <w:r w:rsidR="00C65218" w:rsidRPr="003D1647">
        <w:rPr>
          <w:i/>
          <w:lang w:val="nl-BE"/>
        </w:rPr>
        <w:t>“ESEF</w:t>
      </w:r>
      <w:r w:rsidR="00C65218" w:rsidRPr="003D1647">
        <w:rPr>
          <w:i/>
          <w:spacing w:val="-7"/>
          <w:lang w:val="nl-BE"/>
        </w:rPr>
        <w:t xml:space="preserve"> </w:t>
      </w:r>
      <w:r w:rsidR="00C65218" w:rsidRPr="003D1647">
        <w:rPr>
          <w:i/>
          <w:lang w:val="nl-BE"/>
        </w:rPr>
        <w:t>RTS”)</w:t>
      </w:r>
      <w:r w:rsidR="00C65218" w:rsidRPr="003D1647">
        <w:rPr>
          <w:i/>
          <w:spacing w:val="-9"/>
          <w:lang w:val="nl-BE"/>
        </w:rPr>
        <w:t xml:space="preserve"> </w:t>
      </w:r>
      <w:r w:rsidR="00C65218" w:rsidRPr="003D1647">
        <w:rPr>
          <w:lang w:val="nl-BE"/>
        </w:rPr>
        <w:t>van</w:t>
      </w:r>
      <w:r w:rsidR="00C65218" w:rsidRPr="003D1647">
        <w:rPr>
          <w:spacing w:val="-16"/>
          <w:lang w:val="nl-BE"/>
        </w:rPr>
        <w:t xml:space="preserve"> </w:t>
      </w:r>
      <w:r w:rsidR="00C65218" w:rsidRPr="003D1647">
        <w:rPr>
          <w:lang w:val="nl-BE"/>
        </w:rPr>
        <w:t>toepassing</w:t>
      </w:r>
      <w:r w:rsidR="00C65218" w:rsidRPr="003D1647">
        <w:rPr>
          <w:spacing w:val="-11"/>
          <w:lang w:val="nl-BE"/>
        </w:rPr>
        <w:t xml:space="preserve"> </w:t>
      </w:r>
      <w:r w:rsidR="00C65218" w:rsidRPr="003D1647">
        <w:rPr>
          <w:lang w:val="nl-BE"/>
        </w:rPr>
        <w:t>op</w:t>
      </w:r>
      <w:r w:rsidR="00C65218" w:rsidRPr="003D1647">
        <w:rPr>
          <w:spacing w:val="-11"/>
          <w:lang w:val="nl-BE"/>
        </w:rPr>
        <w:t xml:space="preserve"> </w:t>
      </w:r>
      <w:r w:rsidR="00C65218" w:rsidRPr="003D1647">
        <w:rPr>
          <w:lang w:val="nl-BE"/>
        </w:rPr>
        <w:t>de</w:t>
      </w:r>
      <w:r w:rsidR="00C65218" w:rsidRPr="003D1647">
        <w:rPr>
          <w:spacing w:val="-11"/>
          <w:lang w:val="nl-BE"/>
        </w:rPr>
        <w:t xml:space="preserve"> </w:t>
      </w:r>
      <w:r w:rsidR="00C65218" w:rsidRPr="003D1647">
        <w:rPr>
          <w:lang w:val="nl-BE"/>
        </w:rPr>
        <w:t>digitale</w:t>
      </w:r>
      <w:r w:rsidR="00C65218" w:rsidRPr="003D1647">
        <w:rPr>
          <w:spacing w:val="-11"/>
          <w:lang w:val="nl-BE"/>
        </w:rPr>
        <w:t xml:space="preserve"> </w:t>
      </w:r>
      <w:r w:rsidR="00C65218" w:rsidRPr="003D1647">
        <w:rPr>
          <w:lang w:val="nl-BE"/>
        </w:rPr>
        <w:t>geconsolideerde</w:t>
      </w:r>
      <w:r w:rsidR="00C65218" w:rsidRPr="003D1647">
        <w:rPr>
          <w:spacing w:val="-11"/>
          <w:lang w:val="nl-BE"/>
        </w:rPr>
        <w:t xml:space="preserve"> </w:t>
      </w:r>
      <w:r w:rsidR="00C65218" w:rsidRPr="003D1647">
        <w:rPr>
          <w:lang w:val="nl-BE"/>
        </w:rPr>
        <w:t>financiële</w:t>
      </w:r>
      <w:r w:rsidR="00C65218" w:rsidRPr="003D1647">
        <w:rPr>
          <w:spacing w:val="-11"/>
          <w:lang w:val="nl-BE"/>
        </w:rPr>
        <w:t xml:space="preserve"> </w:t>
      </w:r>
      <w:r w:rsidR="00C65218" w:rsidRPr="003D1647">
        <w:rPr>
          <w:lang w:val="nl-BE"/>
        </w:rPr>
        <w:t>overzichten</w:t>
      </w:r>
      <w:r w:rsidR="00C65218" w:rsidRPr="003D1647">
        <w:rPr>
          <w:spacing w:val="-12"/>
          <w:lang w:val="nl-BE"/>
        </w:rPr>
        <w:t xml:space="preserve"> </w:t>
      </w:r>
      <w:r w:rsidR="00C65218" w:rsidRPr="003D1647">
        <w:rPr>
          <w:lang w:val="nl-BE"/>
        </w:rPr>
        <w:t>per</w:t>
      </w:r>
      <w:r w:rsidR="00C65218" w:rsidRPr="003D1647">
        <w:rPr>
          <w:spacing w:val="-9"/>
          <w:lang w:val="nl-BE"/>
        </w:rPr>
        <w:t xml:space="preserve"> </w:t>
      </w:r>
      <w:r w:rsidR="003D1647">
        <w:rPr>
          <w:lang w:val="nl-BE"/>
        </w:rPr>
        <w:t>xx</w:t>
      </w:r>
      <w:r w:rsidR="00C65218" w:rsidRPr="003D1647">
        <w:rPr>
          <w:lang w:val="nl-BE"/>
        </w:rPr>
        <w:t xml:space="preserve"> </w:t>
      </w:r>
      <w:r w:rsidR="003D1647">
        <w:rPr>
          <w:lang w:val="nl-BE"/>
        </w:rPr>
        <w:t>xxxx</w:t>
      </w:r>
      <w:r w:rsidR="00C65218" w:rsidRPr="003D1647">
        <w:rPr>
          <w:lang w:val="nl-BE"/>
        </w:rPr>
        <w:t xml:space="preserve"> 20</w:t>
      </w:r>
      <w:r w:rsidR="003D1647">
        <w:rPr>
          <w:lang w:val="nl-BE"/>
        </w:rPr>
        <w:t>xx</w:t>
      </w:r>
      <w:r w:rsidR="00C65218" w:rsidRPr="003D1647">
        <w:rPr>
          <w:spacing w:val="-2"/>
          <w:lang w:val="nl-BE"/>
        </w:rPr>
        <w:t xml:space="preserve"> </w:t>
      </w:r>
      <w:r w:rsidR="00C65218" w:rsidRPr="003D1647">
        <w:rPr>
          <w:lang w:val="nl-BE"/>
        </w:rPr>
        <w:t>).</w:t>
      </w:r>
    </w:p>
    <w:p w14:paraId="12ECEC3E" w14:textId="77777777" w:rsidR="00CD221F" w:rsidRPr="00C65218" w:rsidRDefault="00CD221F">
      <w:pPr>
        <w:pStyle w:val="BodyText"/>
        <w:spacing w:before="9"/>
        <w:rPr>
          <w:sz w:val="19"/>
          <w:lang w:val="nl-BE"/>
        </w:rPr>
      </w:pPr>
    </w:p>
    <w:p w14:paraId="262FC803" w14:textId="77BE45B7" w:rsidR="00CD221F" w:rsidRPr="00C65218" w:rsidRDefault="00C65218">
      <w:pPr>
        <w:pStyle w:val="BodyText"/>
        <w:ind w:left="646" w:right="687"/>
        <w:jc w:val="both"/>
        <w:rPr>
          <w:lang w:val="nl-BE"/>
        </w:rPr>
      </w:pPr>
      <w:r w:rsidRPr="00C65218">
        <w:rPr>
          <w:lang w:val="nl-BE"/>
        </w:rPr>
        <w:t xml:space="preserve">Deze verantwoordelijkheid bevat de selectie en toepassing van de meest gepaste methodes om de digitale geconsolideerde financiële overzichten op te stellen. Bovendien bevat de verantwoordelijkheid van </w:t>
      </w:r>
      <w:r w:rsidR="00364683">
        <w:rPr>
          <w:lang w:val="nl-BE"/>
        </w:rPr>
        <w:t>het b</w:t>
      </w:r>
      <w:r w:rsidRPr="00C65218">
        <w:rPr>
          <w:lang w:val="nl-BE"/>
        </w:rPr>
        <w:t>estuur</w:t>
      </w:r>
      <w:r w:rsidR="00364683">
        <w:rPr>
          <w:lang w:val="nl-BE"/>
        </w:rPr>
        <w:t>sorgaan</w:t>
      </w:r>
      <w:r w:rsidRPr="00C65218">
        <w:rPr>
          <w:lang w:val="nl-BE"/>
        </w:rPr>
        <w:t xml:space="preserve"> [</w:t>
      </w:r>
      <w:r w:rsidR="00364683">
        <w:rPr>
          <w:lang w:val="nl-BE"/>
        </w:rPr>
        <w:t xml:space="preserve">de </w:t>
      </w:r>
      <w:r w:rsidRPr="00C65218">
        <w:rPr>
          <w:lang w:val="nl-BE"/>
        </w:rPr>
        <w:t>bestuurder(s)]* het ontwerpen, het implementeren en het onderhouden van systemen en processen die relevant zijn bij het opstellen van de digitale geconsolideerde</w:t>
      </w:r>
      <w:r w:rsidRPr="00C65218">
        <w:rPr>
          <w:spacing w:val="-13"/>
          <w:lang w:val="nl-BE"/>
        </w:rPr>
        <w:t xml:space="preserve"> </w:t>
      </w:r>
      <w:r w:rsidRPr="00C65218">
        <w:rPr>
          <w:lang w:val="nl-BE"/>
        </w:rPr>
        <w:t>financiële</w:t>
      </w:r>
      <w:r w:rsidRPr="00C65218">
        <w:rPr>
          <w:spacing w:val="-12"/>
          <w:lang w:val="nl-BE"/>
        </w:rPr>
        <w:t xml:space="preserve"> </w:t>
      </w:r>
      <w:r w:rsidRPr="00C65218">
        <w:rPr>
          <w:lang w:val="nl-BE"/>
        </w:rPr>
        <w:t>overzichten,</w:t>
      </w:r>
      <w:r w:rsidRPr="00C65218">
        <w:rPr>
          <w:spacing w:val="-8"/>
          <w:lang w:val="nl-BE"/>
        </w:rPr>
        <w:t xml:space="preserve"> </w:t>
      </w:r>
      <w:r w:rsidRPr="00C65218">
        <w:rPr>
          <w:lang w:val="nl-BE"/>
        </w:rPr>
        <w:t>die</w:t>
      </w:r>
      <w:r w:rsidRPr="00C65218">
        <w:rPr>
          <w:spacing w:val="-12"/>
          <w:lang w:val="nl-BE"/>
        </w:rPr>
        <w:t xml:space="preserve"> </w:t>
      </w:r>
      <w:r w:rsidRPr="00C65218">
        <w:rPr>
          <w:lang w:val="nl-BE"/>
        </w:rPr>
        <w:t>geen</w:t>
      </w:r>
      <w:r w:rsidRPr="00C65218">
        <w:rPr>
          <w:spacing w:val="-12"/>
          <w:lang w:val="nl-BE"/>
        </w:rPr>
        <w:t xml:space="preserve"> </w:t>
      </w:r>
      <w:r w:rsidRPr="00C65218">
        <w:rPr>
          <w:lang w:val="nl-BE"/>
        </w:rPr>
        <w:t>afwijkingen</w:t>
      </w:r>
      <w:r w:rsidRPr="00C65218">
        <w:rPr>
          <w:spacing w:val="-12"/>
          <w:lang w:val="nl-BE"/>
        </w:rPr>
        <w:t xml:space="preserve"> </w:t>
      </w:r>
      <w:r w:rsidRPr="00C65218">
        <w:rPr>
          <w:lang w:val="nl-BE"/>
        </w:rPr>
        <w:t>van</w:t>
      </w:r>
      <w:r w:rsidRPr="00C65218">
        <w:rPr>
          <w:spacing w:val="-12"/>
          <w:lang w:val="nl-BE"/>
        </w:rPr>
        <w:t xml:space="preserve"> </w:t>
      </w:r>
      <w:r w:rsidRPr="00C65218">
        <w:rPr>
          <w:lang w:val="nl-BE"/>
        </w:rPr>
        <w:t>materieel</w:t>
      </w:r>
      <w:r w:rsidRPr="00C65218">
        <w:rPr>
          <w:spacing w:val="-12"/>
          <w:lang w:val="nl-BE"/>
        </w:rPr>
        <w:t xml:space="preserve"> </w:t>
      </w:r>
      <w:r w:rsidRPr="00C65218">
        <w:rPr>
          <w:lang w:val="nl-BE"/>
        </w:rPr>
        <w:t>belang</w:t>
      </w:r>
      <w:r w:rsidRPr="00C65218">
        <w:rPr>
          <w:spacing w:val="-12"/>
          <w:lang w:val="nl-BE"/>
        </w:rPr>
        <w:t xml:space="preserve"> </w:t>
      </w:r>
      <w:r w:rsidRPr="00C65218">
        <w:rPr>
          <w:lang w:val="nl-BE"/>
        </w:rPr>
        <w:t>die</w:t>
      </w:r>
      <w:r w:rsidRPr="00C65218">
        <w:rPr>
          <w:spacing w:val="-12"/>
          <w:lang w:val="nl-BE"/>
        </w:rPr>
        <w:t xml:space="preserve"> </w:t>
      </w:r>
      <w:r w:rsidRPr="00C65218">
        <w:rPr>
          <w:lang w:val="nl-BE"/>
        </w:rPr>
        <w:t>het</w:t>
      </w:r>
      <w:r w:rsidRPr="00C65218">
        <w:rPr>
          <w:spacing w:val="-9"/>
          <w:lang w:val="nl-BE"/>
        </w:rPr>
        <w:t xml:space="preserve"> </w:t>
      </w:r>
      <w:r w:rsidRPr="00C65218">
        <w:rPr>
          <w:lang w:val="nl-BE"/>
        </w:rPr>
        <w:t>gevolg</w:t>
      </w:r>
      <w:r w:rsidRPr="00C65218">
        <w:rPr>
          <w:spacing w:val="-12"/>
          <w:lang w:val="nl-BE"/>
        </w:rPr>
        <w:t xml:space="preserve"> </w:t>
      </w:r>
      <w:r w:rsidRPr="00C65218">
        <w:rPr>
          <w:lang w:val="nl-BE"/>
        </w:rPr>
        <w:t xml:space="preserve">zijn van fraude of fouten bevatten. </w:t>
      </w:r>
      <w:r w:rsidR="00364683">
        <w:rPr>
          <w:lang w:val="nl-BE"/>
        </w:rPr>
        <w:t>Het</w:t>
      </w:r>
      <w:r w:rsidRPr="00C65218">
        <w:rPr>
          <w:lang w:val="nl-BE"/>
        </w:rPr>
        <w:t xml:space="preserve"> bestuur</w:t>
      </w:r>
      <w:r w:rsidR="00364683">
        <w:rPr>
          <w:lang w:val="nl-BE"/>
        </w:rPr>
        <w:t>sorgaan</w:t>
      </w:r>
      <w:r w:rsidRPr="00C65218">
        <w:rPr>
          <w:lang w:val="nl-BE"/>
        </w:rPr>
        <w:t xml:space="preserve"> dient na te gaan of de digitale geconsolideerde financiële overzichten in overeenstemming zijn met de door de gebruiker leesbare geconsolideerde financiële</w:t>
      </w:r>
      <w:r w:rsidRPr="00C65218">
        <w:rPr>
          <w:spacing w:val="-1"/>
          <w:lang w:val="nl-BE"/>
        </w:rPr>
        <w:t xml:space="preserve"> </w:t>
      </w:r>
      <w:r w:rsidRPr="00C65218">
        <w:rPr>
          <w:lang w:val="nl-BE"/>
        </w:rPr>
        <w:t>overzichten.</w:t>
      </w:r>
    </w:p>
    <w:p w14:paraId="1218EB7E" w14:textId="77777777" w:rsidR="00CD221F" w:rsidRPr="00C65218" w:rsidRDefault="00CD221F">
      <w:pPr>
        <w:pStyle w:val="BodyText"/>
        <w:rPr>
          <w:sz w:val="22"/>
          <w:lang w:val="nl-BE"/>
        </w:rPr>
      </w:pPr>
    </w:p>
    <w:p w14:paraId="610EF06D" w14:textId="77777777" w:rsidR="00CD221F" w:rsidRPr="00C65218" w:rsidRDefault="00CD221F">
      <w:pPr>
        <w:pStyle w:val="BodyText"/>
        <w:rPr>
          <w:sz w:val="18"/>
          <w:lang w:val="nl-BE"/>
        </w:rPr>
      </w:pPr>
    </w:p>
    <w:p w14:paraId="152A7385" w14:textId="7119958F" w:rsidR="00CD221F" w:rsidRPr="00C65218" w:rsidRDefault="00C65218">
      <w:pPr>
        <w:pStyle w:val="Heading3"/>
        <w:ind w:left="646"/>
        <w:rPr>
          <w:lang w:val="nl-BE"/>
        </w:rPr>
      </w:pPr>
      <w:r w:rsidRPr="00C65218">
        <w:rPr>
          <w:lang w:val="nl-BE"/>
        </w:rPr>
        <w:t>Verantwoordelijkheid van de commissaris</w:t>
      </w:r>
    </w:p>
    <w:p w14:paraId="189E7AB4" w14:textId="77777777" w:rsidR="00CD221F" w:rsidRPr="00C65218" w:rsidRDefault="00CD221F">
      <w:pPr>
        <w:pStyle w:val="BodyText"/>
        <w:spacing w:before="1"/>
        <w:rPr>
          <w:b/>
          <w:i/>
          <w:lang w:val="nl-BE"/>
        </w:rPr>
      </w:pPr>
    </w:p>
    <w:p w14:paraId="12D60683" w14:textId="77777777" w:rsidR="00CD221F" w:rsidRPr="00C65218" w:rsidRDefault="00C65218">
      <w:pPr>
        <w:pStyle w:val="BodyText"/>
        <w:ind w:left="646" w:right="695"/>
        <w:jc w:val="both"/>
        <w:rPr>
          <w:lang w:val="nl-BE"/>
        </w:rPr>
      </w:pPr>
      <w:r w:rsidRPr="00C65218">
        <w:rPr>
          <w:lang w:val="nl-BE"/>
        </w:rPr>
        <w:t>Het is onze verantwoordelijkheid een conclusie te formuleren over het feit of de markeertaal XBRL van de digitale geconsolideerde financiële overzichten van [naam, rechtsvorm en ondernemingsnummer van de vennootschap]* per xx xxxx 20xx in alle van materieel belang zijnde opzichten in overeenstemming is met de ESEF technische reguleringsnormen op basis van de door ons uitgevoerde werkzaamheden.</w:t>
      </w:r>
    </w:p>
    <w:p w14:paraId="37C48F21" w14:textId="77777777" w:rsidR="00CD221F" w:rsidRPr="00C65218" w:rsidRDefault="00CD221F">
      <w:pPr>
        <w:pStyle w:val="BodyText"/>
        <w:spacing w:before="4"/>
        <w:rPr>
          <w:lang w:val="nl-BE"/>
        </w:rPr>
      </w:pPr>
    </w:p>
    <w:p w14:paraId="2CDA9A9F" w14:textId="2CF9C05B" w:rsidR="00CD221F" w:rsidRPr="00C65218" w:rsidRDefault="00C65218" w:rsidP="00B64B61">
      <w:pPr>
        <w:pStyle w:val="BodyText"/>
        <w:spacing w:line="237" w:lineRule="auto"/>
        <w:ind w:left="646" w:right="692"/>
        <w:jc w:val="both"/>
        <w:rPr>
          <w:lang w:val="nl-BE"/>
        </w:rPr>
        <w:sectPr w:rsidR="00CD221F" w:rsidRPr="00C65218">
          <w:pgSz w:w="12240" w:h="15840"/>
          <w:pgMar w:top="1500" w:right="720" w:bottom="280" w:left="1340" w:header="720" w:footer="720" w:gutter="0"/>
          <w:cols w:space="720"/>
        </w:sectPr>
      </w:pPr>
      <w:r w:rsidRPr="00C65218">
        <w:rPr>
          <w:lang w:val="nl-BE"/>
        </w:rPr>
        <w:t>We hebben onze werkzaamheden verricht in overeenstemming met de International Standard on Assurance Engagements (ISAE) 3000 (Revised) “Assurance Engagements other than Audits or Reviews of Historical Financial Information”. Deze standaard schrijft voor dat we voldoen aan de ethische</w:t>
      </w:r>
      <w:r w:rsidRPr="00C65218">
        <w:rPr>
          <w:spacing w:val="-7"/>
          <w:lang w:val="nl-BE"/>
        </w:rPr>
        <w:t xml:space="preserve"> </w:t>
      </w:r>
      <w:r w:rsidRPr="00C65218">
        <w:rPr>
          <w:lang w:val="nl-BE"/>
        </w:rPr>
        <w:t>vereisten</w:t>
      </w:r>
      <w:r w:rsidRPr="00C65218">
        <w:rPr>
          <w:spacing w:val="-6"/>
          <w:lang w:val="nl-BE"/>
        </w:rPr>
        <w:t xml:space="preserve"> </w:t>
      </w:r>
      <w:r w:rsidRPr="00C65218">
        <w:rPr>
          <w:lang w:val="nl-BE"/>
        </w:rPr>
        <w:t>en</w:t>
      </w:r>
      <w:r w:rsidRPr="00C65218">
        <w:rPr>
          <w:spacing w:val="-6"/>
          <w:lang w:val="nl-BE"/>
        </w:rPr>
        <w:t xml:space="preserve"> </w:t>
      </w:r>
      <w:r w:rsidRPr="00C65218">
        <w:rPr>
          <w:lang w:val="nl-BE"/>
        </w:rPr>
        <w:t>dat</w:t>
      </w:r>
      <w:r w:rsidRPr="00C65218">
        <w:rPr>
          <w:spacing w:val="-3"/>
          <w:lang w:val="nl-BE"/>
        </w:rPr>
        <w:t xml:space="preserve"> </w:t>
      </w:r>
      <w:r w:rsidRPr="00C65218">
        <w:rPr>
          <w:lang w:val="nl-BE"/>
        </w:rPr>
        <w:t>we</w:t>
      </w:r>
      <w:r w:rsidRPr="00C65218">
        <w:rPr>
          <w:spacing w:val="-7"/>
          <w:lang w:val="nl-BE"/>
        </w:rPr>
        <w:t xml:space="preserve"> </w:t>
      </w:r>
      <w:r w:rsidRPr="00C65218">
        <w:rPr>
          <w:lang w:val="nl-BE"/>
        </w:rPr>
        <w:t>de</w:t>
      </w:r>
      <w:r w:rsidRPr="00C65218">
        <w:rPr>
          <w:spacing w:val="-6"/>
          <w:lang w:val="nl-BE"/>
        </w:rPr>
        <w:t xml:space="preserve"> </w:t>
      </w:r>
      <w:r w:rsidRPr="00C65218">
        <w:rPr>
          <w:lang w:val="nl-BE"/>
        </w:rPr>
        <w:t>opdracht</w:t>
      </w:r>
      <w:r w:rsidRPr="00C65218">
        <w:rPr>
          <w:spacing w:val="-3"/>
          <w:lang w:val="nl-BE"/>
        </w:rPr>
        <w:t xml:space="preserve"> </w:t>
      </w:r>
      <w:r w:rsidRPr="00C65218">
        <w:rPr>
          <w:lang w:val="nl-BE"/>
        </w:rPr>
        <w:t>plannen</w:t>
      </w:r>
      <w:r w:rsidRPr="00C65218">
        <w:rPr>
          <w:spacing w:val="-6"/>
          <w:lang w:val="nl-BE"/>
        </w:rPr>
        <w:t xml:space="preserve"> </w:t>
      </w:r>
      <w:r w:rsidRPr="00C65218">
        <w:rPr>
          <w:lang w:val="nl-BE"/>
        </w:rPr>
        <w:t>en</w:t>
      </w:r>
      <w:r w:rsidRPr="00C65218">
        <w:rPr>
          <w:spacing w:val="-7"/>
          <w:lang w:val="nl-BE"/>
        </w:rPr>
        <w:t xml:space="preserve"> </w:t>
      </w:r>
      <w:r w:rsidRPr="00C65218">
        <w:rPr>
          <w:lang w:val="nl-BE"/>
        </w:rPr>
        <w:t>uitvoeren</w:t>
      </w:r>
      <w:r w:rsidRPr="00C65218">
        <w:rPr>
          <w:spacing w:val="-6"/>
          <w:lang w:val="nl-BE"/>
        </w:rPr>
        <w:t xml:space="preserve"> </w:t>
      </w:r>
      <w:r w:rsidRPr="00C65218">
        <w:rPr>
          <w:lang w:val="nl-BE"/>
        </w:rPr>
        <w:t>om</w:t>
      </w:r>
      <w:r w:rsidRPr="00C65218">
        <w:rPr>
          <w:spacing w:val="-4"/>
          <w:lang w:val="nl-BE"/>
        </w:rPr>
        <w:t xml:space="preserve"> </w:t>
      </w:r>
      <w:r w:rsidRPr="00C65218">
        <w:rPr>
          <w:lang w:val="nl-BE"/>
        </w:rPr>
        <w:t>een</w:t>
      </w:r>
      <w:r w:rsidRPr="00C65218">
        <w:rPr>
          <w:spacing w:val="-6"/>
          <w:lang w:val="nl-BE"/>
        </w:rPr>
        <w:t xml:space="preserve"> </w:t>
      </w:r>
      <w:r w:rsidRPr="00C65218">
        <w:rPr>
          <w:lang w:val="nl-BE"/>
        </w:rPr>
        <w:t>redelijke</w:t>
      </w:r>
      <w:r w:rsidRPr="00C65218">
        <w:rPr>
          <w:spacing w:val="-9"/>
          <w:lang w:val="nl-BE"/>
        </w:rPr>
        <w:t xml:space="preserve"> </w:t>
      </w:r>
      <w:r w:rsidRPr="00C65218">
        <w:rPr>
          <w:lang w:val="nl-BE"/>
        </w:rPr>
        <w:t>mate</w:t>
      </w:r>
      <w:r w:rsidRPr="00C65218">
        <w:rPr>
          <w:spacing w:val="-6"/>
          <w:lang w:val="nl-BE"/>
        </w:rPr>
        <w:t xml:space="preserve"> </w:t>
      </w:r>
      <w:r w:rsidRPr="00C65218">
        <w:rPr>
          <w:lang w:val="nl-BE"/>
        </w:rPr>
        <w:t>van</w:t>
      </w:r>
      <w:r w:rsidRPr="00C65218">
        <w:rPr>
          <w:spacing w:val="-6"/>
          <w:lang w:val="nl-BE"/>
        </w:rPr>
        <w:t xml:space="preserve"> </w:t>
      </w:r>
      <w:r w:rsidRPr="00C65218">
        <w:rPr>
          <w:lang w:val="nl-BE"/>
        </w:rPr>
        <w:t>zekerheid</w:t>
      </w:r>
    </w:p>
    <w:p w14:paraId="596A8394" w14:textId="77777777" w:rsidR="00CD221F" w:rsidRPr="00C65218" w:rsidRDefault="00CD221F">
      <w:pPr>
        <w:pStyle w:val="BodyText"/>
        <w:rPr>
          <w:lang w:val="nl-BE"/>
        </w:rPr>
      </w:pPr>
    </w:p>
    <w:p w14:paraId="664698FC" w14:textId="77777777" w:rsidR="00CD221F" w:rsidRPr="00C65218" w:rsidRDefault="00CD221F">
      <w:pPr>
        <w:pStyle w:val="BodyText"/>
        <w:rPr>
          <w:lang w:val="nl-BE"/>
        </w:rPr>
      </w:pPr>
    </w:p>
    <w:p w14:paraId="54637DC6" w14:textId="77777777" w:rsidR="00CD221F" w:rsidRPr="00C65218" w:rsidRDefault="00CD221F">
      <w:pPr>
        <w:pStyle w:val="BodyText"/>
        <w:rPr>
          <w:lang w:val="nl-BE"/>
        </w:rPr>
      </w:pPr>
    </w:p>
    <w:p w14:paraId="07DCED6C" w14:textId="77777777" w:rsidR="00CD221F" w:rsidRPr="00C65218" w:rsidRDefault="00CD221F">
      <w:pPr>
        <w:pStyle w:val="BodyText"/>
        <w:rPr>
          <w:lang w:val="nl-BE"/>
        </w:rPr>
      </w:pPr>
    </w:p>
    <w:p w14:paraId="5B9B0484" w14:textId="77777777" w:rsidR="00CD221F" w:rsidRPr="00C65218" w:rsidRDefault="00CD221F">
      <w:pPr>
        <w:pStyle w:val="BodyText"/>
        <w:spacing w:before="1"/>
        <w:rPr>
          <w:sz w:val="22"/>
          <w:lang w:val="nl-BE"/>
        </w:rPr>
      </w:pPr>
    </w:p>
    <w:p w14:paraId="650929CC" w14:textId="77777777" w:rsidR="00CD221F" w:rsidRPr="00C65218" w:rsidRDefault="00C65218">
      <w:pPr>
        <w:pStyle w:val="BodyText"/>
        <w:ind w:left="647" w:right="693"/>
        <w:jc w:val="both"/>
        <w:rPr>
          <w:lang w:val="nl-BE"/>
        </w:rPr>
      </w:pPr>
      <w:r w:rsidRPr="00C65218">
        <w:rPr>
          <w:lang w:val="nl-BE"/>
        </w:rPr>
        <w:t>te verkrijgen of er niets onder onze aandacht is gekomen dat ons doet aannemen dat de digitale geconsolideerde financiële overzichten in alle van materieel belang zijnde opzichten niet opgesteld zou</w:t>
      </w:r>
      <w:r w:rsidRPr="00C65218">
        <w:rPr>
          <w:spacing w:val="-9"/>
          <w:lang w:val="nl-BE"/>
        </w:rPr>
        <w:t xml:space="preserve"> </w:t>
      </w:r>
      <w:r w:rsidRPr="00C65218">
        <w:rPr>
          <w:lang w:val="nl-BE"/>
        </w:rPr>
        <w:t>zijn</w:t>
      </w:r>
      <w:r w:rsidRPr="00C65218">
        <w:rPr>
          <w:spacing w:val="-12"/>
          <w:lang w:val="nl-BE"/>
        </w:rPr>
        <w:t xml:space="preserve"> </w:t>
      </w:r>
      <w:r w:rsidRPr="00C65218">
        <w:rPr>
          <w:lang w:val="nl-BE"/>
        </w:rPr>
        <w:t>overeenkomstig</w:t>
      </w:r>
      <w:r w:rsidRPr="00C65218">
        <w:rPr>
          <w:spacing w:val="-13"/>
          <w:lang w:val="nl-BE"/>
        </w:rPr>
        <w:t xml:space="preserve"> </w:t>
      </w:r>
      <w:r w:rsidRPr="00C65218">
        <w:rPr>
          <w:lang w:val="nl-BE"/>
        </w:rPr>
        <w:t>de</w:t>
      </w:r>
      <w:r w:rsidRPr="00C65218">
        <w:rPr>
          <w:spacing w:val="-8"/>
          <w:lang w:val="nl-BE"/>
        </w:rPr>
        <w:t xml:space="preserve"> </w:t>
      </w:r>
      <w:r w:rsidRPr="00C65218">
        <w:rPr>
          <w:lang w:val="nl-BE"/>
        </w:rPr>
        <w:t>door</w:t>
      </w:r>
      <w:r w:rsidRPr="00C65218">
        <w:rPr>
          <w:spacing w:val="-11"/>
          <w:lang w:val="nl-BE"/>
        </w:rPr>
        <w:t xml:space="preserve"> </w:t>
      </w:r>
      <w:r w:rsidRPr="00C65218">
        <w:rPr>
          <w:lang w:val="nl-BE"/>
        </w:rPr>
        <w:t>de</w:t>
      </w:r>
      <w:r w:rsidRPr="00C65218">
        <w:rPr>
          <w:spacing w:val="-13"/>
          <w:lang w:val="nl-BE"/>
        </w:rPr>
        <w:t xml:space="preserve"> </w:t>
      </w:r>
      <w:r w:rsidRPr="00C65218">
        <w:rPr>
          <w:lang w:val="nl-BE"/>
        </w:rPr>
        <w:t>Vennootschap</w:t>
      </w:r>
      <w:r w:rsidRPr="00C65218">
        <w:rPr>
          <w:spacing w:val="-8"/>
          <w:lang w:val="nl-BE"/>
        </w:rPr>
        <w:t xml:space="preserve"> </w:t>
      </w:r>
      <w:r w:rsidRPr="00C65218">
        <w:rPr>
          <w:lang w:val="nl-BE"/>
        </w:rPr>
        <w:t>toegepaste</w:t>
      </w:r>
      <w:r w:rsidRPr="00C65218">
        <w:rPr>
          <w:spacing w:val="-8"/>
          <w:lang w:val="nl-BE"/>
        </w:rPr>
        <w:t xml:space="preserve"> </w:t>
      </w:r>
      <w:r w:rsidRPr="00C65218">
        <w:rPr>
          <w:lang w:val="nl-BE"/>
        </w:rPr>
        <w:t>ESEF</w:t>
      </w:r>
      <w:r w:rsidRPr="00C65218">
        <w:rPr>
          <w:spacing w:val="-9"/>
          <w:lang w:val="nl-BE"/>
        </w:rPr>
        <w:t xml:space="preserve"> </w:t>
      </w:r>
      <w:r w:rsidRPr="00C65218">
        <w:rPr>
          <w:lang w:val="nl-BE"/>
        </w:rPr>
        <w:t>technische</w:t>
      </w:r>
      <w:r w:rsidRPr="00C65218">
        <w:rPr>
          <w:spacing w:val="-13"/>
          <w:lang w:val="nl-BE"/>
        </w:rPr>
        <w:t xml:space="preserve"> </w:t>
      </w:r>
      <w:r w:rsidRPr="00C65218">
        <w:rPr>
          <w:lang w:val="nl-BE"/>
        </w:rPr>
        <w:t>reguleringsnormen.</w:t>
      </w:r>
    </w:p>
    <w:p w14:paraId="2B955BE4" w14:textId="77777777" w:rsidR="00CD221F" w:rsidRPr="00C65218" w:rsidRDefault="00CD221F">
      <w:pPr>
        <w:pStyle w:val="BodyText"/>
        <w:spacing w:before="1"/>
        <w:rPr>
          <w:lang w:val="nl-BE"/>
        </w:rPr>
      </w:pPr>
    </w:p>
    <w:p w14:paraId="1BF2F912" w14:textId="43D59EA1" w:rsidR="00CD221F" w:rsidRPr="00C65218" w:rsidRDefault="00C65218">
      <w:pPr>
        <w:pStyle w:val="BodyText"/>
        <w:spacing w:before="1"/>
        <w:ind w:left="647" w:right="685"/>
        <w:jc w:val="both"/>
        <w:rPr>
          <w:lang w:val="nl-BE"/>
        </w:rPr>
      </w:pPr>
      <w:r w:rsidRPr="00C65218">
        <w:rPr>
          <w:lang w:val="nl-BE"/>
        </w:rPr>
        <w:t xml:space="preserve">De keuze van de uitgevoerde werkzaamheden is afhankelijk van de door ons toegepaste oordeelsvorming en van de inschatting van het risico op materiële afwijkingen in de digitale geconsolideerde financiële overzichten en in de verklaringen van </w:t>
      </w:r>
      <w:r w:rsidR="00364683">
        <w:rPr>
          <w:lang w:val="nl-BE"/>
        </w:rPr>
        <w:t>het b</w:t>
      </w:r>
      <w:r w:rsidRPr="00C65218">
        <w:rPr>
          <w:lang w:val="nl-BE"/>
        </w:rPr>
        <w:t>estuur</w:t>
      </w:r>
      <w:r w:rsidR="00364683">
        <w:rPr>
          <w:lang w:val="nl-BE"/>
        </w:rPr>
        <w:t>sorgaan</w:t>
      </w:r>
      <w:r w:rsidRPr="00C65218">
        <w:rPr>
          <w:lang w:val="nl-BE"/>
        </w:rPr>
        <w:t xml:space="preserve"> [</w:t>
      </w:r>
      <w:r w:rsidR="00364683">
        <w:rPr>
          <w:lang w:val="nl-BE"/>
        </w:rPr>
        <w:t xml:space="preserve">de </w:t>
      </w:r>
      <w:r w:rsidRPr="00C65218">
        <w:rPr>
          <w:lang w:val="nl-BE"/>
        </w:rPr>
        <w:t>bestuurder(s)]*. Het geheel van de door ons uitgevoerde werkzaamheden bestond onder meer uit de volgende procedures</w:t>
      </w:r>
      <w:r w:rsidR="00B64B61">
        <w:rPr>
          <w:rStyle w:val="FootnoteReference"/>
          <w:lang w:val="nl-BE"/>
        </w:rPr>
        <w:footnoteReference w:id="6"/>
      </w:r>
      <w:r w:rsidRPr="00C65218">
        <w:rPr>
          <w:lang w:val="nl-BE"/>
        </w:rPr>
        <w:t>:</w:t>
      </w:r>
    </w:p>
    <w:p w14:paraId="5349E6B4" w14:textId="77777777" w:rsidR="00CD221F" w:rsidRPr="00C65218" w:rsidRDefault="00CD221F">
      <w:pPr>
        <w:pStyle w:val="BodyText"/>
        <w:spacing w:before="8"/>
        <w:rPr>
          <w:sz w:val="19"/>
          <w:lang w:val="nl-BE"/>
        </w:rPr>
      </w:pPr>
    </w:p>
    <w:p w14:paraId="552465F3" w14:textId="77777777" w:rsidR="00CD221F" w:rsidRPr="003D1647" w:rsidRDefault="00C65218">
      <w:pPr>
        <w:pStyle w:val="ListParagraph"/>
        <w:numPr>
          <w:ilvl w:val="0"/>
          <w:numId w:val="1"/>
        </w:numPr>
        <w:tabs>
          <w:tab w:val="left" w:pos="1003"/>
        </w:tabs>
        <w:spacing w:before="0" w:line="237" w:lineRule="auto"/>
        <w:ind w:right="691"/>
        <w:rPr>
          <w:sz w:val="20"/>
          <w:lang w:val="nl-BE"/>
        </w:rPr>
      </w:pPr>
      <w:r w:rsidRPr="00C65218">
        <w:rPr>
          <w:sz w:val="20"/>
          <w:lang w:val="nl-BE"/>
        </w:rPr>
        <w:t xml:space="preserve">Bekomen van een inzicht van de processen van de </w:t>
      </w:r>
      <w:r w:rsidRPr="00C65218">
        <w:rPr>
          <w:spacing w:val="-3"/>
          <w:sz w:val="20"/>
          <w:lang w:val="nl-BE"/>
        </w:rPr>
        <w:t xml:space="preserve">door </w:t>
      </w:r>
      <w:r w:rsidRPr="00C65218">
        <w:rPr>
          <w:sz w:val="20"/>
          <w:lang w:val="nl-BE"/>
        </w:rPr>
        <w:t xml:space="preserve">de Vennootschap gevolgde werkwijze bij de markeertaal XBRL van haar digitale geconsolideerde financiële overzichten en van de interne beheersingsmaatregelen die relevant zijn voor de certificering, met als doel controlewerkzaamheden op te zetten die in de gegeven omstandigheden geschikt zijn maar </w:t>
      </w:r>
      <w:r w:rsidRPr="00C65218">
        <w:rPr>
          <w:spacing w:val="-2"/>
          <w:sz w:val="20"/>
          <w:lang w:val="nl-BE"/>
        </w:rPr>
        <w:t xml:space="preserve">die </w:t>
      </w:r>
      <w:r w:rsidRPr="00C65218">
        <w:rPr>
          <w:sz w:val="20"/>
          <w:lang w:val="nl-BE"/>
        </w:rPr>
        <w:t xml:space="preserve">niet zijn gericht op </w:t>
      </w:r>
      <w:r w:rsidRPr="00C65218">
        <w:rPr>
          <w:spacing w:val="-3"/>
          <w:sz w:val="20"/>
          <w:lang w:val="nl-BE"/>
        </w:rPr>
        <w:t xml:space="preserve">het </w:t>
      </w:r>
      <w:r w:rsidRPr="00C65218">
        <w:rPr>
          <w:sz w:val="20"/>
          <w:lang w:val="nl-BE"/>
        </w:rPr>
        <w:t>geven van een oordeel over de effectiviteit van de interne beheersingsmaatregelen</w:t>
      </w:r>
      <w:r w:rsidRPr="00C65218">
        <w:rPr>
          <w:spacing w:val="-12"/>
          <w:sz w:val="20"/>
          <w:lang w:val="nl-BE"/>
        </w:rPr>
        <w:t xml:space="preserve"> </w:t>
      </w:r>
      <w:r w:rsidRPr="00C65218">
        <w:rPr>
          <w:sz w:val="20"/>
          <w:lang w:val="nl-BE"/>
        </w:rPr>
        <w:t>die</w:t>
      </w:r>
      <w:r w:rsidRPr="00C65218">
        <w:rPr>
          <w:spacing w:val="-11"/>
          <w:sz w:val="20"/>
          <w:lang w:val="nl-BE"/>
        </w:rPr>
        <w:t xml:space="preserve"> </w:t>
      </w:r>
      <w:r w:rsidRPr="00C65218">
        <w:rPr>
          <w:sz w:val="20"/>
          <w:lang w:val="nl-BE"/>
        </w:rPr>
        <w:t>een</w:t>
      </w:r>
      <w:r w:rsidRPr="00C65218">
        <w:rPr>
          <w:spacing w:val="-11"/>
          <w:sz w:val="20"/>
          <w:lang w:val="nl-BE"/>
        </w:rPr>
        <w:t xml:space="preserve"> </w:t>
      </w:r>
      <w:r w:rsidRPr="00C65218">
        <w:rPr>
          <w:sz w:val="20"/>
          <w:lang w:val="nl-BE"/>
        </w:rPr>
        <w:t>redelijke</w:t>
      </w:r>
      <w:r w:rsidRPr="00C65218">
        <w:rPr>
          <w:spacing w:val="-11"/>
          <w:sz w:val="20"/>
          <w:lang w:val="nl-BE"/>
        </w:rPr>
        <w:t xml:space="preserve"> </w:t>
      </w:r>
      <w:r w:rsidRPr="00C65218">
        <w:rPr>
          <w:sz w:val="20"/>
          <w:lang w:val="nl-BE"/>
        </w:rPr>
        <w:t>mate</w:t>
      </w:r>
      <w:r w:rsidRPr="00C65218">
        <w:rPr>
          <w:spacing w:val="-11"/>
          <w:sz w:val="20"/>
          <w:lang w:val="nl-BE"/>
        </w:rPr>
        <w:t xml:space="preserve"> </w:t>
      </w:r>
      <w:r w:rsidRPr="00C65218">
        <w:rPr>
          <w:sz w:val="20"/>
          <w:lang w:val="nl-BE"/>
        </w:rPr>
        <w:t>van</w:t>
      </w:r>
      <w:r w:rsidRPr="00C65218">
        <w:rPr>
          <w:spacing w:val="-11"/>
          <w:sz w:val="20"/>
          <w:lang w:val="nl-BE"/>
        </w:rPr>
        <w:t xml:space="preserve"> </w:t>
      </w:r>
      <w:r w:rsidRPr="00C65218">
        <w:rPr>
          <w:sz w:val="20"/>
          <w:lang w:val="nl-BE"/>
        </w:rPr>
        <w:t>zekerheid</w:t>
      </w:r>
      <w:r w:rsidRPr="00C65218">
        <w:rPr>
          <w:spacing w:val="-11"/>
          <w:sz w:val="20"/>
          <w:lang w:val="nl-BE"/>
        </w:rPr>
        <w:t xml:space="preserve"> </w:t>
      </w:r>
      <w:r w:rsidRPr="00C65218">
        <w:rPr>
          <w:sz w:val="20"/>
          <w:lang w:val="nl-BE"/>
        </w:rPr>
        <w:t>dienen</w:t>
      </w:r>
      <w:r w:rsidRPr="00C65218">
        <w:rPr>
          <w:spacing w:val="-11"/>
          <w:sz w:val="20"/>
          <w:lang w:val="nl-BE"/>
        </w:rPr>
        <w:t xml:space="preserve"> </w:t>
      </w:r>
      <w:r w:rsidRPr="00C65218">
        <w:rPr>
          <w:sz w:val="20"/>
          <w:lang w:val="nl-BE"/>
        </w:rPr>
        <w:t>te</w:t>
      </w:r>
      <w:r w:rsidRPr="00C65218">
        <w:rPr>
          <w:spacing w:val="-11"/>
          <w:sz w:val="20"/>
          <w:lang w:val="nl-BE"/>
        </w:rPr>
        <w:t xml:space="preserve"> </w:t>
      </w:r>
      <w:r w:rsidRPr="00C65218">
        <w:rPr>
          <w:sz w:val="20"/>
          <w:lang w:val="nl-BE"/>
        </w:rPr>
        <w:t>verschaffen</w:t>
      </w:r>
      <w:r w:rsidRPr="00C65218">
        <w:rPr>
          <w:spacing w:val="-11"/>
          <w:sz w:val="20"/>
          <w:lang w:val="nl-BE"/>
        </w:rPr>
        <w:t xml:space="preserve"> </w:t>
      </w:r>
      <w:r w:rsidRPr="00C65218">
        <w:rPr>
          <w:sz w:val="20"/>
          <w:lang w:val="nl-BE"/>
        </w:rPr>
        <w:t>over</w:t>
      </w:r>
      <w:r w:rsidRPr="00C65218">
        <w:rPr>
          <w:spacing w:val="-9"/>
          <w:sz w:val="20"/>
          <w:lang w:val="nl-BE"/>
        </w:rPr>
        <w:t xml:space="preserve"> </w:t>
      </w:r>
      <w:r w:rsidRPr="00C65218">
        <w:rPr>
          <w:sz w:val="20"/>
          <w:lang w:val="nl-BE"/>
        </w:rPr>
        <w:t>het</w:t>
      </w:r>
      <w:r w:rsidRPr="00C65218">
        <w:rPr>
          <w:spacing w:val="-12"/>
          <w:sz w:val="20"/>
          <w:lang w:val="nl-BE"/>
        </w:rPr>
        <w:t xml:space="preserve"> </w:t>
      </w:r>
      <w:r w:rsidRPr="00C65218">
        <w:rPr>
          <w:sz w:val="20"/>
          <w:lang w:val="nl-BE"/>
        </w:rPr>
        <w:t>feit dat</w:t>
      </w:r>
      <w:r w:rsidRPr="00C65218">
        <w:rPr>
          <w:spacing w:val="-6"/>
          <w:sz w:val="20"/>
          <w:lang w:val="nl-BE"/>
        </w:rPr>
        <w:t xml:space="preserve"> </w:t>
      </w:r>
      <w:r w:rsidRPr="00C65218">
        <w:rPr>
          <w:sz w:val="20"/>
          <w:lang w:val="nl-BE"/>
        </w:rPr>
        <w:t>de</w:t>
      </w:r>
      <w:r w:rsidRPr="00C65218">
        <w:rPr>
          <w:spacing w:val="-8"/>
          <w:sz w:val="20"/>
          <w:lang w:val="nl-BE"/>
        </w:rPr>
        <w:t xml:space="preserve"> </w:t>
      </w:r>
      <w:r w:rsidRPr="00C65218">
        <w:rPr>
          <w:sz w:val="20"/>
          <w:lang w:val="nl-BE"/>
        </w:rPr>
        <w:t>markeertaal</w:t>
      </w:r>
      <w:r w:rsidRPr="00C65218">
        <w:rPr>
          <w:spacing w:val="-8"/>
          <w:sz w:val="20"/>
          <w:lang w:val="nl-BE"/>
        </w:rPr>
        <w:t xml:space="preserve"> </w:t>
      </w:r>
      <w:r w:rsidRPr="00C65218">
        <w:rPr>
          <w:sz w:val="20"/>
          <w:lang w:val="nl-BE"/>
        </w:rPr>
        <w:t>XBRL</w:t>
      </w:r>
      <w:r w:rsidRPr="00C65218">
        <w:rPr>
          <w:spacing w:val="-13"/>
          <w:sz w:val="20"/>
          <w:lang w:val="nl-BE"/>
        </w:rPr>
        <w:t xml:space="preserve"> </w:t>
      </w:r>
      <w:r w:rsidRPr="00C65218">
        <w:rPr>
          <w:sz w:val="20"/>
          <w:lang w:val="nl-BE"/>
        </w:rPr>
        <w:t>van</w:t>
      </w:r>
      <w:r w:rsidRPr="00C65218">
        <w:rPr>
          <w:spacing w:val="-8"/>
          <w:sz w:val="20"/>
          <w:lang w:val="nl-BE"/>
        </w:rPr>
        <w:t xml:space="preserve"> </w:t>
      </w:r>
      <w:r w:rsidRPr="00C65218">
        <w:rPr>
          <w:sz w:val="20"/>
          <w:lang w:val="nl-BE"/>
        </w:rPr>
        <w:t>de</w:t>
      </w:r>
      <w:r w:rsidRPr="00C65218">
        <w:rPr>
          <w:spacing w:val="-8"/>
          <w:sz w:val="20"/>
          <w:lang w:val="nl-BE"/>
        </w:rPr>
        <w:t xml:space="preserve"> </w:t>
      </w:r>
      <w:r w:rsidRPr="00C65218">
        <w:rPr>
          <w:sz w:val="20"/>
          <w:lang w:val="nl-BE"/>
        </w:rPr>
        <w:t>digitale</w:t>
      </w:r>
      <w:r w:rsidRPr="00C65218">
        <w:rPr>
          <w:spacing w:val="-8"/>
          <w:sz w:val="20"/>
          <w:lang w:val="nl-BE"/>
        </w:rPr>
        <w:t xml:space="preserve"> </w:t>
      </w:r>
      <w:r w:rsidRPr="00C65218">
        <w:rPr>
          <w:sz w:val="20"/>
          <w:lang w:val="nl-BE"/>
        </w:rPr>
        <w:t>geconsolideerde</w:t>
      </w:r>
      <w:r w:rsidRPr="00C65218">
        <w:rPr>
          <w:spacing w:val="-8"/>
          <w:sz w:val="20"/>
          <w:lang w:val="nl-BE"/>
        </w:rPr>
        <w:t xml:space="preserve"> </w:t>
      </w:r>
      <w:r w:rsidRPr="00C65218">
        <w:rPr>
          <w:sz w:val="20"/>
          <w:lang w:val="nl-BE"/>
        </w:rPr>
        <w:t>financiële</w:t>
      </w:r>
      <w:r w:rsidRPr="00C65218">
        <w:rPr>
          <w:spacing w:val="-9"/>
          <w:sz w:val="20"/>
          <w:lang w:val="nl-BE"/>
        </w:rPr>
        <w:t xml:space="preserve"> </w:t>
      </w:r>
      <w:r w:rsidRPr="00C65218">
        <w:rPr>
          <w:sz w:val="20"/>
          <w:lang w:val="nl-BE"/>
        </w:rPr>
        <w:t>overzichten</w:t>
      </w:r>
      <w:r w:rsidRPr="00C65218">
        <w:rPr>
          <w:spacing w:val="-9"/>
          <w:sz w:val="20"/>
          <w:lang w:val="nl-BE"/>
        </w:rPr>
        <w:t xml:space="preserve"> </w:t>
      </w:r>
      <w:r w:rsidRPr="00C65218">
        <w:rPr>
          <w:sz w:val="20"/>
          <w:lang w:val="nl-BE"/>
        </w:rPr>
        <w:t>in</w:t>
      </w:r>
      <w:r w:rsidRPr="00C65218">
        <w:rPr>
          <w:spacing w:val="-8"/>
          <w:sz w:val="20"/>
          <w:lang w:val="nl-BE"/>
        </w:rPr>
        <w:t xml:space="preserve"> </w:t>
      </w:r>
      <w:r w:rsidRPr="00C65218">
        <w:rPr>
          <w:sz w:val="20"/>
          <w:lang w:val="nl-BE"/>
        </w:rPr>
        <w:t>alle</w:t>
      </w:r>
      <w:r w:rsidRPr="00C65218">
        <w:rPr>
          <w:spacing w:val="-8"/>
          <w:sz w:val="20"/>
          <w:lang w:val="nl-BE"/>
        </w:rPr>
        <w:t xml:space="preserve"> </w:t>
      </w:r>
      <w:r w:rsidRPr="00C65218">
        <w:rPr>
          <w:sz w:val="20"/>
          <w:lang w:val="nl-BE"/>
        </w:rPr>
        <w:t xml:space="preserve">materiele </w:t>
      </w:r>
      <w:r w:rsidRPr="003D1647">
        <w:rPr>
          <w:sz w:val="20"/>
          <w:lang w:val="nl-BE"/>
        </w:rPr>
        <w:t>opzichten in overeenstemming is met de ESEF technische</w:t>
      </w:r>
      <w:r w:rsidRPr="003D1647">
        <w:rPr>
          <w:spacing w:val="-9"/>
          <w:sz w:val="20"/>
          <w:lang w:val="nl-BE"/>
        </w:rPr>
        <w:t xml:space="preserve"> </w:t>
      </w:r>
      <w:r w:rsidRPr="003D1647">
        <w:rPr>
          <w:sz w:val="20"/>
          <w:lang w:val="nl-BE"/>
        </w:rPr>
        <w:t>reguleringsnormen;</w:t>
      </w:r>
    </w:p>
    <w:p w14:paraId="7067FDF5" w14:textId="052C9DA5" w:rsidR="00CD221F" w:rsidRPr="003D1647" w:rsidRDefault="00C65218">
      <w:pPr>
        <w:pStyle w:val="ListParagraph"/>
        <w:numPr>
          <w:ilvl w:val="0"/>
          <w:numId w:val="1"/>
        </w:numPr>
        <w:tabs>
          <w:tab w:val="left" w:pos="1003"/>
        </w:tabs>
        <w:spacing w:before="8" w:line="237" w:lineRule="auto"/>
        <w:rPr>
          <w:sz w:val="20"/>
          <w:lang w:val="nl-BE"/>
        </w:rPr>
      </w:pPr>
      <w:r w:rsidRPr="003D1647">
        <w:rPr>
          <w:sz w:val="20"/>
          <w:lang w:val="nl-BE"/>
        </w:rPr>
        <w:t>[Het</w:t>
      </w:r>
      <w:r w:rsidRPr="003D1647">
        <w:rPr>
          <w:spacing w:val="-10"/>
          <w:sz w:val="20"/>
          <w:lang w:val="nl-BE"/>
        </w:rPr>
        <w:t xml:space="preserve"> </w:t>
      </w:r>
      <w:r w:rsidRPr="003D1647">
        <w:rPr>
          <w:sz w:val="20"/>
          <w:lang w:val="nl-BE"/>
        </w:rPr>
        <w:t>verkrijgen</w:t>
      </w:r>
      <w:r w:rsidRPr="003D1647">
        <w:rPr>
          <w:spacing w:val="-11"/>
          <w:sz w:val="20"/>
          <w:lang w:val="nl-BE"/>
        </w:rPr>
        <w:t xml:space="preserve"> </w:t>
      </w:r>
      <w:r w:rsidRPr="003D1647">
        <w:rPr>
          <w:sz w:val="20"/>
          <w:lang w:val="nl-BE"/>
        </w:rPr>
        <w:t>van</w:t>
      </w:r>
      <w:r w:rsidRPr="003D1647">
        <w:rPr>
          <w:spacing w:val="-12"/>
          <w:sz w:val="20"/>
          <w:lang w:val="nl-BE"/>
        </w:rPr>
        <w:t xml:space="preserve"> </w:t>
      </w:r>
      <w:r w:rsidRPr="003D1647">
        <w:rPr>
          <w:sz w:val="20"/>
          <w:lang w:val="nl-BE"/>
        </w:rPr>
        <w:t>voldoende</w:t>
      </w:r>
      <w:r w:rsidRPr="003D1647">
        <w:rPr>
          <w:spacing w:val="-4"/>
          <w:sz w:val="20"/>
          <w:lang w:val="nl-BE"/>
        </w:rPr>
        <w:t xml:space="preserve"> </w:t>
      </w:r>
      <w:r w:rsidRPr="003D1647">
        <w:rPr>
          <w:sz w:val="20"/>
          <w:lang w:val="nl-BE"/>
        </w:rPr>
        <w:t>en</w:t>
      </w:r>
      <w:r w:rsidRPr="003D1647">
        <w:rPr>
          <w:spacing w:val="-2"/>
          <w:sz w:val="20"/>
          <w:lang w:val="nl-BE"/>
        </w:rPr>
        <w:t xml:space="preserve"> </w:t>
      </w:r>
      <w:r w:rsidRPr="003D1647">
        <w:rPr>
          <w:sz w:val="20"/>
          <w:lang w:val="nl-BE"/>
        </w:rPr>
        <w:t>geschikte</w:t>
      </w:r>
      <w:r w:rsidRPr="003D1647">
        <w:rPr>
          <w:spacing w:val="-12"/>
          <w:sz w:val="20"/>
          <w:lang w:val="nl-BE"/>
        </w:rPr>
        <w:t xml:space="preserve"> </w:t>
      </w:r>
      <w:r w:rsidRPr="003D1647">
        <w:rPr>
          <w:sz w:val="20"/>
          <w:lang w:val="nl-BE"/>
        </w:rPr>
        <w:t>controle-informatie</w:t>
      </w:r>
      <w:r w:rsidRPr="003D1647">
        <w:rPr>
          <w:spacing w:val="-12"/>
          <w:sz w:val="20"/>
          <w:lang w:val="nl-BE"/>
        </w:rPr>
        <w:t xml:space="preserve"> </w:t>
      </w:r>
      <w:r w:rsidRPr="003D1647">
        <w:rPr>
          <w:sz w:val="20"/>
          <w:lang w:val="nl-BE"/>
        </w:rPr>
        <w:t>over</w:t>
      </w:r>
      <w:r w:rsidRPr="003D1647">
        <w:rPr>
          <w:spacing w:val="-10"/>
          <w:sz w:val="20"/>
          <w:lang w:val="nl-BE"/>
        </w:rPr>
        <w:t xml:space="preserve"> </w:t>
      </w:r>
      <w:r w:rsidRPr="003D1647">
        <w:rPr>
          <w:sz w:val="20"/>
          <w:lang w:val="nl-BE"/>
        </w:rPr>
        <w:t>de</w:t>
      </w:r>
      <w:r w:rsidRPr="003D1647">
        <w:rPr>
          <w:spacing w:val="-12"/>
          <w:sz w:val="20"/>
          <w:lang w:val="nl-BE"/>
        </w:rPr>
        <w:t xml:space="preserve"> </w:t>
      </w:r>
      <w:r w:rsidRPr="003D1647">
        <w:rPr>
          <w:sz w:val="20"/>
          <w:lang w:val="nl-BE"/>
        </w:rPr>
        <w:t>effectieve</w:t>
      </w:r>
      <w:r w:rsidRPr="003D1647">
        <w:rPr>
          <w:spacing w:val="-12"/>
          <w:sz w:val="20"/>
          <w:lang w:val="nl-BE"/>
        </w:rPr>
        <w:t xml:space="preserve"> </w:t>
      </w:r>
      <w:r w:rsidRPr="003D1647">
        <w:rPr>
          <w:sz w:val="20"/>
          <w:lang w:val="nl-BE"/>
        </w:rPr>
        <w:t>werking</w:t>
      </w:r>
      <w:r w:rsidRPr="003D1647">
        <w:rPr>
          <w:spacing w:val="-12"/>
          <w:sz w:val="20"/>
          <w:lang w:val="nl-BE"/>
        </w:rPr>
        <w:t xml:space="preserve"> </w:t>
      </w:r>
      <w:r w:rsidRPr="003D1647">
        <w:rPr>
          <w:sz w:val="20"/>
          <w:lang w:val="nl-BE"/>
        </w:rPr>
        <w:t>van</w:t>
      </w:r>
      <w:r w:rsidRPr="003D1647">
        <w:rPr>
          <w:spacing w:val="-12"/>
          <w:sz w:val="20"/>
          <w:lang w:val="nl-BE"/>
        </w:rPr>
        <w:t xml:space="preserve"> </w:t>
      </w:r>
      <w:r w:rsidRPr="003D1647">
        <w:rPr>
          <w:sz w:val="20"/>
          <w:lang w:val="nl-BE"/>
        </w:rPr>
        <w:t xml:space="preserve">de controles die relevant zijn voor de markeertaal XBRL </w:t>
      </w:r>
      <w:r w:rsidRPr="003D1647">
        <w:rPr>
          <w:spacing w:val="-3"/>
          <w:sz w:val="20"/>
          <w:lang w:val="nl-BE"/>
        </w:rPr>
        <w:t xml:space="preserve">van </w:t>
      </w:r>
      <w:r w:rsidRPr="003D1647">
        <w:rPr>
          <w:sz w:val="20"/>
          <w:lang w:val="nl-BE"/>
        </w:rPr>
        <w:t>de digitale geconsolideerde financiële overzichten van [naam, rechtsvorm en ondernemingsnummer van de vennootschap]* per xx xxxx 20xx;</w:t>
      </w:r>
    </w:p>
    <w:p w14:paraId="6086824F" w14:textId="77777777" w:rsidR="00CD221F" w:rsidRPr="003D1647" w:rsidRDefault="00C65218">
      <w:pPr>
        <w:pStyle w:val="ListParagraph"/>
        <w:numPr>
          <w:ilvl w:val="0"/>
          <w:numId w:val="1"/>
        </w:numPr>
        <w:tabs>
          <w:tab w:val="left" w:pos="1003"/>
        </w:tabs>
        <w:spacing w:line="235" w:lineRule="auto"/>
        <w:ind w:right="690"/>
        <w:rPr>
          <w:sz w:val="20"/>
          <w:lang w:val="nl-BE"/>
        </w:rPr>
      </w:pPr>
      <w:r w:rsidRPr="003D1647">
        <w:rPr>
          <w:sz w:val="20"/>
          <w:lang w:val="nl-BE"/>
        </w:rPr>
        <w:t xml:space="preserve">[Het afstemmen van de gemarkeerde gegevens </w:t>
      </w:r>
      <w:r w:rsidRPr="003D1647">
        <w:rPr>
          <w:spacing w:val="-3"/>
          <w:sz w:val="20"/>
          <w:lang w:val="nl-BE"/>
        </w:rPr>
        <w:t xml:space="preserve">met </w:t>
      </w:r>
      <w:r w:rsidRPr="003D1647">
        <w:rPr>
          <w:sz w:val="20"/>
          <w:lang w:val="nl-BE"/>
        </w:rPr>
        <w:t>de gecontroleerde geconsolideerde financiële overzichten van [naam, rechtsvorm en ondernemingsnummer van de vennootschap]* per xx xxxx</w:t>
      </w:r>
      <w:r w:rsidRPr="003D1647">
        <w:rPr>
          <w:spacing w:val="5"/>
          <w:sz w:val="20"/>
          <w:lang w:val="nl-BE"/>
        </w:rPr>
        <w:t xml:space="preserve"> </w:t>
      </w:r>
      <w:r w:rsidRPr="003D1647">
        <w:rPr>
          <w:sz w:val="20"/>
          <w:lang w:val="nl-BE"/>
        </w:rPr>
        <w:t>20xx];</w:t>
      </w:r>
    </w:p>
    <w:p w14:paraId="2341F687" w14:textId="77777777" w:rsidR="00CD221F" w:rsidRPr="003D1647" w:rsidRDefault="00C65218">
      <w:pPr>
        <w:pStyle w:val="ListParagraph"/>
        <w:numPr>
          <w:ilvl w:val="0"/>
          <w:numId w:val="1"/>
        </w:numPr>
        <w:tabs>
          <w:tab w:val="left" w:pos="1003"/>
        </w:tabs>
        <w:spacing w:before="7" w:line="228" w:lineRule="auto"/>
        <w:rPr>
          <w:sz w:val="20"/>
          <w:lang w:val="nl-BE"/>
        </w:rPr>
      </w:pPr>
      <w:r w:rsidRPr="003D1647">
        <w:rPr>
          <w:sz w:val="20"/>
          <w:lang w:val="nl-BE"/>
        </w:rPr>
        <w:t>[Het beoordelen van de volledigheid van de door de Vennootschap opgestelde markeertaal van de digitale geconsolideerde financiële</w:t>
      </w:r>
      <w:r w:rsidRPr="003D1647">
        <w:rPr>
          <w:spacing w:val="-1"/>
          <w:sz w:val="20"/>
          <w:lang w:val="nl-BE"/>
        </w:rPr>
        <w:t xml:space="preserve"> </w:t>
      </w:r>
      <w:r w:rsidRPr="003D1647">
        <w:rPr>
          <w:sz w:val="20"/>
          <w:lang w:val="nl-BE"/>
        </w:rPr>
        <w:t>overzichten];</w:t>
      </w:r>
    </w:p>
    <w:p w14:paraId="349B6D1D" w14:textId="77777777" w:rsidR="00CD221F" w:rsidRPr="003D1647" w:rsidRDefault="00C65218">
      <w:pPr>
        <w:pStyle w:val="ListParagraph"/>
        <w:numPr>
          <w:ilvl w:val="0"/>
          <w:numId w:val="1"/>
        </w:numPr>
        <w:tabs>
          <w:tab w:val="left" w:pos="1003"/>
        </w:tabs>
        <w:spacing w:before="16" w:line="228" w:lineRule="auto"/>
        <w:ind w:right="695"/>
        <w:rPr>
          <w:sz w:val="20"/>
          <w:lang w:val="nl-BE"/>
        </w:rPr>
      </w:pPr>
      <w:r w:rsidRPr="003D1647">
        <w:rPr>
          <w:sz w:val="20"/>
          <w:lang w:val="nl-BE"/>
        </w:rPr>
        <w:t>[Het beoordelen van het geschikt zijn van het gebruik door de Vennootschap van de iXBRL- elementen</w:t>
      </w:r>
      <w:r w:rsidRPr="003D1647">
        <w:rPr>
          <w:spacing w:val="-16"/>
          <w:sz w:val="20"/>
          <w:lang w:val="nl-BE"/>
        </w:rPr>
        <w:t xml:space="preserve"> </w:t>
      </w:r>
      <w:r w:rsidRPr="003D1647">
        <w:rPr>
          <w:sz w:val="20"/>
          <w:lang w:val="nl-BE"/>
        </w:rPr>
        <w:t>van</w:t>
      </w:r>
      <w:r w:rsidRPr="003D1647">
        <w:rPr>
          <w:spacing w:val="-15"/>
          <w:sz w:val="20"/>
          <w:lang w:val="nl-BE"/>
        </w:rPr>
        <w:t xml:space="preserve"> </w:t>
      </w:r>
      <w:r w:rsidRPr="003D1647">
        <w:rPr>
          <w:sz w:val="20"/>
          <w:lang w:val="nl-BE"/>
        </w:rPr>
        <w:t>de</w:t>
      </w:r>
      <w:r w:rsidRPr="003D1647">
        <w:rPr>
          <w:spacing w:val="-16"/>
          <w:sz w:val="20"/>
          <w:lang w:val="nl-BE"/>
        </w:rPr>
        <w:t xml:space="preserve"> </w:t>
      </w:r>
      <w:r w:rsidRPr="003D1647">
        <w:rPr>
          <w:sz w:val="20"/>
          <w:lang w:val="nl-BE"/>
        </w:rPr>
        <w:t>ESEF-taxonomie</w:t>
      </w:r>
      <w:r w:rsidRPr="003D1647">
        <w:rPr>
          <w:spacing w:val="-15"/>
          <w:sz w:val="20"/>
          <w:lang w:val="nl-BE"/>
        </w:rPr>
        <w:t xml:space="preserve"> </w:t>
      </w:r>
      <w:r w:rsidRPr="003D1647">
        <w:rPr>
          <w:sz w:val="20"/>
          <w:lang w:val="nl-BE"/>
        </w:rPr>
        <w:t>en</w:t>
      </w:r>
      <w:r w:rsidRPr="003D1647">
        <w:rPr>
          <w:spacing w:val="-16"/>
          <w:sz w:val="20"/>
          <w:lang w:val="nl-BE"/>
        </w:rPr>
        <w:t xml:space="preserve"> </w:t>
      </w:r>
      <w:r w:rsidRPr="003D1647">
        <w:rPr>
          <w:sz w:val="20"/>
          <w:lang w:val="nl-BE"/>
        </w:rPr>
        <w:t>het</w:t>
      </w:r>
      <w:r w:rsidRPr="003D1647">
        <w:rPr>
          <w:spacing w:val="-11"/>
          <w:sz w:val="20"/>
          <w:lang w:val="nl-BE"/>
        </w:rPr>
        <w:t xml:space="preserve"> </w:t>
      </w:r>
      <w:r w:rsidRPr="003D1647">
        <w:rPr>
          <w:sz w:val="20"/>
          <w:lang w:val="nl-BE"/>
        </w:rPr>
        <w:t>beoordelen</w:t>
      </w:r>
      <w:r w:rsidRPr="003D1647">
        <w:rPr>
          <w:spacing w:val="-16"/>
          <w:sz w:val="20"/>
          <w:lang w:val="nl-BE"/>
        </w:rPr>
        <w:t xml:space="preserve"> </w:t>
      </w:r>
      <w:r w:rsidRPr="003D1647">
        <w:rPr>
          <w:sz w:val="20"/>
          <w:lang w:val="nl-BE"/>
        </w:rPr>
        <w:t>van</w:t>
      </w:r>
      <w:r w:rsidRPr="003D1647">
        <w:rPr>
          <w:spacing w:val="-15"/>
          <w:sz w:val="20"/>
          <w:lang w:val="nl-BE"/>
        </w:rPr>
        <w:t xml:space="preserve"> </w:t>
      </w:r>
      <w:r w:rsidRPr="003D1647">
        <w:rPr>
          <w:sz w:val="20"/>
          <w:lang w:val="nl-BE"/>
        </w:rPr>
        <w:t>de</w:t>
      </w:r>
      <w:r w:rsidRPr="003D1647">
        <w:rPr>
          <w:spacing w:val="-16"/>
          <w:sz w:val="20"/>
          <w:lang w:val="nl-BE"/>
        </w:rPr>
        <w:t xml:space="preserve"> </w:t>
      </w:r>
      <w:r w:rsidRPr="003D1647">
        <w:rPr>
          <w:sz w:val="20"/>
          <w:lang w:val="nl-BE"/>
        </w:rPr>
        <w:t>creatie</w:t>
      </w:r>
      <w:r w:rsidRPr="003D1647">
        <w:rPr>
          <w:spacing w:val="-15"/>
          <w:sz w:val="20"/>
          <w:lang w:val="nl-BE"/>
        </w:rPr>
        <w:t xml:space="preserve"> </w:t>
      </w:r>
      <w:r w:rsidRPr="003D1647">
        <w:rPr>
          <w:sz w:val="20"/>
          <w:lang w:val="nl-BE"/>
        </w:rPr>
        <w:t>van</w:t>
      </w:r>
      <w:r w:rsidRPr="003D1647">
        <w:rPr>
          <w:spacing w:val="-16"/>
          <w:sz w:val="20"/>
          <w:lang w:val="nl-BE"/>
        </w:rPr>
        <w:t xml:space="preserve"> </w:t>
      </w:r>
      <w:r w:rsidRPr="003D1647">
        <w:rPr>
          <w:sz w:val="20"/>
          <w:lang w:val="nl-BE"/>
        </w:rPr>
        <w:t>de</w:t>
      </w:r>
      <w:r w:rsidRPr="003D1647">
        <w:rPr>
          <w:spacing w:val="-15"/>
          <w:sz w:val="20"/>
          <w:lang w:val="nl-BE"/>
        </w:rPr>
        <w:t xml:space="preserve"> </w:t>
      </w:r>
      <w:r w:rsidRPr="003D1647">
        <w:rPr>
          <w:sz w:val="20"/>
          <w:lang w:val="nl-BE"/>
        </w:rPr>
        <w:t>extensietaxonomie];</w:t>
      </w:r>
    </w:p>
    <w:p w14:paraId="49B5C3BB" w14:textId="77777777" w:rsidR="00CD221F" w:rsidRPr="003D1647" w:rsidRDefault="00C65218">
      <w:pPr>
        <w:pStyle w:val="ListParagraph"/>
        <w:numPr>
          <w:ilvl w:val="0"/>
          <w:numId w:val="1"/>
        </w:numPr>
        <w:tabs>
          <w:tab w:val="left" w:pos="1003"/>
        </w:tabs>
        <w:ind w:right="0"/>
        <w:rPr>
          <w:sz w:val="20"/>
          <w:lang w:val="nl-BE"/>
        </w:rPr>
      </w:pPr>
      <w:r w:rsidRPr="003D1647">
        <w:rPr>
          <w:sz w:val="20"/>
          <w:lang w:val="nl-BE"/>
        </w:rPr>
        <w:t>[Zie meer procedurevoorbeelden in de technische nota].</w:t>
      </w:r>
    </w:p>
    <w:p w14:paraId="5D22C0BD" w14:textId="77777777" w:rsidR="00CD221F" w:rsidRPr="00C65218" w:rsidRDefault="00CD221F">
      <w:pPr>
        <w:pStyle w:val="BodyText"/>
        <w:rPr>
          <w:sz w:val="19"/>
          <w:lang w:val="nl-BE"/>
        </w:rPr>
      </w:pPr>
    </w:p>
    <w:p w14:paraId="1948EA67" w14:textId="5FBD9F38" w:rsidR="00CD221F" w:rsidRPr="00C65218" w:rsidRDefault="00C65218">
      <w:pPr>
        <w:spacing w:before="1"/>
        <w:ind w:left="647"/>
        <w:jc w:val="both"/>
        <w:rPr>
          <w:i/>
          <w:sz w:val="20"/>
          <w:lang w:val="nl-BE"/>
        </w:rPr>
      </w:pPr>
      <w:r w:rsidRPr="00C65218">
        <w:rPr>
          <w:i/>
          <w:sz w:val="20"/>
          <w:lang w:val="nl-BE"/>
        </w:rPr>
        <w:t xml:space="preserve">[aan te passen en te vervolledigen op basis van de professionele beoordeling van de </w:t>
      </w:r>
      <w:r w:rsidR="00F167BF">
        <w:rPr>
          <w:i/>
          <w:sz w:val="20"/>
          <w:lang w:val="nl-BE"/>
        </w:rPr>
        <w:t>commissaris</w:t>
      </w:r>
      <w:r w:rsidRPr="00C65218">
        <w:rPr>
          <w:i/>
          <w:sz w:val="20"/>
          <w:lang w:val="nl-BE"/>
        </w:rPr>
        <w:t>].</w:t>
      </w:r>
    </w:p>
    <w:p w14:paraId="1D553FCC" w14:textId="77777777" w:rsidR="00CD221F" w:rsidRPr="00C65218" w:rsidRDefault="00CD221F">
      <w:pPr>
        <w:pStyle w:val="BodyText"/>
        <w:rPr>
          <w:i/>
          <w:sz w:val="22"/>
          <w:lang w:val="nl-BE"/>
        </w:rPr>
      </w:pPr>
    </w:p>
    <w:p w14:paraId="6A7D286F" w14:textId="77777777" w:rsidR="00CD221F" w:rsidRPr="00C65218" w:rsidRDefault="00CD221F">
      <w:pPr>
        <w:pStyle w:val="BodyText"/>
        <w:rPr>
          <w:i/>
          <w:sz w:val="22"/>
          <w:lang w:val="nl-BE"/>
        </w:rPr>
      </w:pPr>
    </w:p>
    <w:p w14:paraId="5E85146C" w14:textId="77777777" w:rsidR="00CD221F" w:rsidRPr="00C65218" w:rsidRDefault="00C65218">
      <w:pPr>
        <w:pStyle w:val="Heading3"/>
        <w:spacing w:before="185"/>
        <w:rPr>
          <w:lang w:val="nl-BE"/>
        </w:rPr>
      </w:pPr>
      <w:r w:rsidRPr="00C65218">
        <w:rPr>
          <w:lang w:val="nl-BE"/>
        </w:rPr>
        <w:t>Onze onafhankelijkheid en kwaliteitscontrole</w:t>
      </w:r>
    </w:p>
    <w:p w14:paraId="326D54DE" w14:textId="77777777" w:rsidR="00CD221F" w:rsidRPr="00C65218" w:rsidRDefault="00CD221F">
      <w:pPr>
        <w:pStyle w:val="BodyText"/>
        <w:spacing w:before="8"/>
        <w:rPr>
          <w:b/>
          <w:i/>
          <w:sz w:val="19"/>
          <w:lang w:val="nl-BE"/>
        </w:rPr>
      </w:pPr>
    </w:p>
    <w:p w14:paraId="275D9620" w14:textId="77777777" w:rsidR="00CD221F" w:rsidRPr="00C65218" w:rsidRDefault="00C65218">
      <w:pPr>
        <w:pStyle w:val="BodyText"/>
        <w:ind w:left="647" w:right="687"/>
        <w:jc w:val="both"/>
        <w:rPr>
          <w:lang w:val="nl-BE"/>
        </w:rPr>
      </w:pPr>
      <w:r w:rsidRPr="00C65218">
        <w:rPr>
          <w:lang w:val="nl-BE"/>
        </w:rPr>
        <w:t>We hebben de onafhankelijkheidsvoorschfiften en andere ethische vereisten van de in België van kracht zijnde wetgeving en regelgeving nageleefd die van toepassing is in het kader van onze opdracht. Deze zijn gebaseerd op de fundamentele principes van integriteit, objectiviteit, vakbekwaamheid en waakzaamheid, confidentialiteit en professioneel gedrag.</w:t>
      </w:r>
    </w:p>
    <w:p w14:paraId="4C551C6C" w14:textId="77777777" w:rsidR="00CD221F" w:rsidRPr="00C65218" w:rsidRDefault="00CD221F">
      <w:pPr>
        <w:pStyle w:val="BodyText"/>
        <w:spacing w:before="2"/>
        <w:rPr>
          <w:lang w:val="nl-BE"/>
        </w:rPr>
      </w:pPr>
    </w:p>
    <w:p w14:paraId="78302A0E" w14:textId="77777777" w:rsidR="00CD221F" w:rsidRPr="00C65218" w:rsidRDefault="00C65218">
      <w:pPr>
        <w:pStyle w:val="BodyText"/>
        <w:ind w:left="647" w:right="1250"/>
        <w:rPr>
          <w:lang w:val="nl-BE"/>
        </w:rPr>
      </w:pPr>
      <w:r w:rsidRPr="00C65218">
        <w:rPr>
          <w:lang w:val="nl-BE"/>
        </w:rPr>
        <w:t>Ons bedrijfsrevisorenkantoorpast de International Standard on Quality Control (ISQC) n°1 toe enonderhoudt eenuitgebreid systeem van kwaliteitscontrole met inbegrip van</w:t>
      </w:r>
    </w:p>
    <w:p w14:paraId="6ACA5E95" w14:textId="77777777" w:rsidR="00CD221F" w:rsidRPr="00C65218" w:rsidRDefault="00CD221F">
      <w:pPr>
        <w:pStyle w:val="BodyText"/>
        <w:rPr>
          <w:lang w:val="nl-BE"/>
        </w:rPr>
      </w:pPr>
    </w:p>
    <w:p w14:paraId="709B71F0" w14:textId="51D64D0E" w:rsidR="00CD221F" w:rsidRPr="00C65218" w:rsidRDefault="00364683">
      <w:pPr>
        <w:pStyle w:val="BodyText"/>
        <w:spacing w:before="9"/>
        <w:rPr>
          <w:sz w:val="21"/>
          <w:lang w:val="nl-BE"/>
        </w:rPr>
      </w:pPr>
      <w:r>
        <w:rPr>
          <w:noProof/>
          <w:lang w:val="nl-BE"/>
        </w:rPr>
        <mc:AlternateContent>
          <mc:Choice Requires="wps">
            <w:drawing>
              <wp:anchor distT="0" distB="0" distL="0" distR="0" simplePos="0" relativeHeight="251659264" behindDoc="1" locked="0" layoutInCell="1" allowOverlap="1" wp14:anchorId="3A6E8E1B" wp14:editId="0068DC41">
                <wp:simplePos x="0" y="0"/>
                <wp:positionH relativeFrom="page">
                  <wp:posOffset>1261745</wp:posOffset>
                </wp:positionH>
                <wp:positionV relativeFrom="paragraph">
                  <wp:posOffset>186690</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987 1987"/>
                            <a:gd name="T1" fmla="*/ T0 w 2880"/>
                            <a:gd name="T2" fmla="+- 0 4867 1987"/>
                            <a:gd name="T3" fmla="*/ T2 w 2880"/>
                          </a:gdLst>
                          <a:ahLst/>
                          <a:cxnLst>
                            <a:cxn ang="0">
                              <a:pos x="T1" y="0"/>
                            </a:cxn>
                            <a:cxn ang="0">
                              <a:pos x="T3" y="0"/>
                            </a:cxn>
                          </a:cxnLst>
                          <a:rect l="0" t="0" r="r" b="b"/>
                          <a:pathLst>
                            <a:path w="2880">
                              <a:moveTo>
                                <a:pt x="0" y="0"/>
                              </a:moveTo>
                              <a:lnTo>
                                <a:pt x="288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F7FF" id="Freeform 2" o:spid="_x0000_s1026" style="position:absolute;margin-left:99.35pt;margin-top:14.7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" path="m,l2880,e" filled="f" strokeweight=".16969mm">
                <v:path arrowok="t" o:connecttype="custom" o:connectlocs="0,0;1828800,0" o:connectangles="0,0"/>
                <w10:wrap type="topAndBottom" anchorx="page"/>
              </v:shape>
            </w:pict>
          </mc:Fallback>
        </mc:AlternateContent>
      </w:r>
    </w:p>
    <w:p w14:paraId="166EEF1D" w14:textId="089201A3" w:rsidR="00CD221F" w:rsidRPr="00C65218" w:rsidRDefault="00C65218">
      <w:pPr>
        <w:spacing w:before="62" w:line="244" w:lineRule="auto"/>
        <w:ind w:left="647"/>
        <w:rPr>
          <w:sz w:val="18"/>
          <w:lang w:val="nl-BE"/>
        </w:rPr>
      </w:pPr>
      <w:bookmarkStart w:id="2" w:name="_bookmark0"/>
      <w:bookmarkEnd w:id="2"/>
      <w:r w:rsidRPr="00C65218">
        <w:rPr>
          <w:position w:val="7"/>
          <w:sz w:val="13"/>
          <w:lang w:val="nl-BE"/>
        </w:rPr>
        <w:t xml:space="preserve">1 </w:t>
      </w:r>
      <w:r w:rsidRPr="00C65218">
        <w:rPr>
          <w:sz w:val="18"/>
          <w:lang w:val="nl-BE"/>
        </w:rPr>
        <w:t>De toepassing van de procedures tussen haakjes moet op basis van de professionele oordeelsvorming van de commissaris worden bepaald.</w:t>
      </w:r>
    </w:p>
    <w:p w14:paraId="38D7E6CE" w14:textId="77777777" w:rsidR="00CD221F" w:rsidRPr="00C65218" w:rsidRDefault="00CD221F">
      <w:pPr>
        <w:spacing w:line="244" w:lineRule="auto"/>
        <w:rPr>
          <w:sz w:val="18"/>
          <w:lang w:val="nl-BE"/>
        </w:rPr>
        <w:sectPr w:rsidR="00CD221F" w:rsidRPr="00C65218">
          <w:pgSz w:w="12240" w:h="15840"/>
          <w:pgMar w:top="1500" w:right="720" w:bottom="280" w:left="1340" w:header="720" w:footer="720" w:gutter="0"/>
          <w:cols w:space="720"/>
        </w:sectPr>
      </w:pPr>
    </w:p>
    <w:p w14:paraId="631883BF" w14:textId="77777777" w:rsidR="00CD221F" w:rsidRPr="00C65218" w:rsidRDefault="00CD221F">
      <w:pPr>
        <w:pStyle w:val="BodyText"/>
        <w:rPr>
          <w:lang w:val="nl-BE"/>
        </w:rPr>
      </w:pPr>
    </w:p>
    <w:p w14:paraId="3E831386" w14:textId="77777777" w:rsidR="00CD221F" w:rsidRPr="00C65218" w:rsidRDefault="00CD221F">
      <w:pPr>
        <w:pStyle w:val="BodyText"/>
        <w:rPr>
          <w:lang w:val="nl-BE"/>
        </w:rPr>
      </w:pPr>
    </w:p>
    <w:p w14:paraId="4590CD0D" w14:textId="77777777" w:rsidR="00CD221F" w:rsidRPr="00C65218" w:rsidRDefault="00CD221F">
      <w:pPr>
        <w:pStyle w:val="BodyText"/>
        <w:rPr>
          <w:lang w:val="nl-BE"/>
        </w:rPr>
      </w:pPr>
    </w:p>
    <w:p w14:paraId="5F174F9A" w14:textId="77777777" w:rsidR="00CD221F" w:rsidRPr="00C65218" w:rsidRDefault="00CD221F">
      <w:pPr>
        <w:pStyle w:val="BodyText"/>
        <w:rPr>
          <w:lang w:val="nl-BE"/>
        </w:rPr>
      </w:pPr>
    </w:p>
    <w:p w14:paraId="1C55A5A8" w14:textId="77777777" w:rsidR="00CD221F" w:rsidRPr="00C65218" w:rsidRDefault="00CD221F">
      <w:pPr>
        <w:pStyle w:val="BodyText"/>
        <w:spacing w:before="1"/>
        <w:rPr>
          <w:sz w:val="22"/>
          <w:lang w:val="nl-BE"/>
        </w:rPr>
      </w:pPr>
    </w:p>
    <w:p w14:paraId="1CC0E84A" w14:textId="77777777" w:rsidR="00CD221F" w:rsidRPr="00C65218" w:rsidRDefault="00C65218">
      <w:pPr>
        <w:pStyle w:val="BodyText"/>
        <w:ind w:left="647" w:right="907"/>
        <w:rPr>
          <w:lang w:val="nl-BE"/>
        </w:rPr>
      </w:pPr>
      <w:r w:rsidRPr="00C65218">
        <w:rPr>
          <w:lang w:val="nl-BE"/>
        </w:rPr>
        <w:t>gedocumenteerdebeleidslijnen enprocedures met betrekking tot ethische vereisten, professionele standaarden, envan toepassing zijnde wettelijke en reglementaire vereisten.</w:t>
      </w:r>
    </w:p>
    <w:p w14:paraId="2F9C1296" w14:textId="77777777" w:rsidR="00CD221F" w:rsidRPr="00C65218" w:rsidRDefault="00CD221F">
      <w:pPr>
        <w:pStyle w:val="BodyText"/>
        <w:rPr>
          <w:sz w:val="22"/>
          <w:lang w:val="nl-BE"/>
        </w:rPr>
      </w:pPr>
    </w:p>
    <w:p w14:paraId="1181C4B5" w14:textId="77777777" w:rsidR="00CD221F" w:rsidRPr="00C65218" w:rsidRDefault="00CD221F">
      <w:pPr>
        <w:pStyle w:val="BodyText"/>
        <w:spacing w:before="1"/>
        <w:rPr>
          <w:sz w:val="18"/>
          <w:lang w:val="nl-BE"/>
        </w:rPr>
      </w:pPr>
    </w:p>
    <w:p w14:paraId="3A6420C8" w14:textId="77777777" w:rsidR="00CD221F" w:rsidRPr="00C65218" w:rsidRDefault="00C65218">
      <w:pPr>
        <w:pStyle w:val="Heading3"/>
        <w:spacing w:before="1"/>
        <w:jc w:val="left"/>
        <w:rPr>
          <w:lang w:val="nl-BE"/>
        </w:rPr>
      </w:pPr>
      <w:r w:rsidRPr="00C65218">
        <w:rPr>
          <w:lang w:val="nl-BE"/>
        </w:rPr>
        <w:t>Conclusie</w:t>
      </w:r>
    </w:p>
    <w:p w14:paraId="2E4A6802" w14:textId="77777777" w:rsidR="00CD221F" w:rsidRPr="00C65218" w:rsidRDefault="00CD221F">
      <w:pPr>
        <w:pStyle w:val="BodyText"/>
        <w:rPr>
          <w:b/>
          <w:i/>
          <w:lang w:val="nl-BE"/>
        </w:rPr>
      </w:pPr>
    </w:p>
    <w:p w14:paraId="7784D5E9" w14:textId="435DD769" w:rsidR="00CD221F" w:rsidRPr="00C65218" w:rsidRDefault="00C65218">
      <w:pPr>
        <w:pStyle w:val="BodyText"/>
        <w:spacing w:before="1"/>
        <w:ind w:left="647" w:right="688" w:hanging="1"/>
        <w:jc w:val="both"/>
        <w:rPr>
          <w:lang w:val="nl-BE"/>
        </w:rPr>
      </w:pPr>
      <w:r w:rsidRPr="00C65218">
        <w:rPr>
          <w:lang w:val="nl-BE"/>
        </w:rPr>
        <w:t xml:space="preserve">Op basis van de uitgevoerde werkzaamheden zijn wij van oordeel dat de markeertaal XBRL van de digitale </w:t>
      </w:r>
      <w:r w:rsidRPr="003D1647">
        <w:rPr>
          <w:lang w:val="nl-BE"/>
        </w:rPr>
        <w:t xml:space="preserve">geconsolideerde financiële overzichten van [naam, rechtsvorm en ondernemingsnummer van de vennootschap]* per xx xxxx 20xx in alle van materieel belang zijnde opzichten in overeenstemming is met de ESEF-vereisten en taxonomie (meerbepaald de van kracht zijnde bepalingen zoals vastgelegd in </w:t>
      </w:r>
      <w:r w:rsidR="00643ACE" w:rsidRPr="003D1647">
        <w:rPr>
          <w:lang w:val="nl-BE"/>
        </w:rPr>
        <w:t>de ESEF technische</w:t>
      </w:r>
      <w:r w:rsidR="00643ACE" w:rsidRPr="003D1647">
        <w:rPr>
          <w:spacing w:val="-9"/>
          <w:lang w:val="nl-BE"/>
        </w:rPr>
        <w:t xml:space="preserve"> </w:t>
      </w:r>
      <w:r w:rsidR="00643ACE" w:rsidRPr="003D1647">
        <w:rPr>
          <w:lang w:val="nl-BE"/>
        </w:rPr>
        <w:t>reguleringsnormen</w:t>
      </w:r>
      <w:r w:rsidRPr="003D1647">
        <w:rPr>
          <w:lang w:val="nl-BE"/>
        </w:rPr>
        <w:t xml:space="preserve"> (</w:t>
      </w:r>
      <w:r w:rsidRPr="003D1647">
        <w:rPr>
          <w:i/>
          <w:lang w:val="nl-BE"/>
        </w:rPr>
        <w:t xml:space="preserve">“ESEF RTS”) </w:t>
      </w:r>
      <w:r w:rsidRPr="003D1647">
        <w:rPr>
          <w:lang w:val="nl-BE"/>
        </w:rPr>
        <w:t xml:space="preserve">van toepassing op de digitale geconsolideerde financiële overzichten per </w:t>
      </w:r>
      <w:r w:rsidR="003D1647">
        <w:rPr>
          <w:lang w:val="nl-BE"/>
        </w:rPr>
        <w:t>xx</w:t>
      </w:r>
      <w:r w:rsidRPr="003D1647">
        <w:rPr>
          <w:lang w:val="nl-BE"/>
        </w:rPr>
        <w:t xml:space="preserve"> </w:t>
      </w:r>
      <w:r w:rsidR="003D1647">
        <w:rPr>
          <w:lang w:val="nl-BE"/>
        </w:rPr>
        <w:t>xxxx</w:t>
      </w:r>
      <w:r w:rsidRPr="003D1647">
        <w:rPr>
          <w:lang w:val="nl-BE"/>
        </w:rPr>
        <w:t xml:space="preserve"> 20</w:t>
      </w:r>
      <w:r w:rsidR="003D1647">
        <w:rPr>
          <w:lang w:val="nl-BE"/>
        </w:rPr>
        <w:t>xx</w:t>
      </w:r>
      <w:r w:rsidRPr="003D1647">
        <w:rPr>
          <w:lang w:val="nl-BE"/>
        </w:rPr>
        <w:t>.</w:t>
      </w:r>
    </w:p>
    <w:p w14:paraId="3E0F4CE5" w14:textId="77777777" w:rsidR="00CD221F" w:rsidRPr="00C65218" w:rsidRDefault="00CD221F">
      <w:pPr>
        <w:pStyle w:val="BodyText"/>
        <w:spacing w:before="9"/>
        <w:rPr>
          <w:sz w:val="19"/>
          <w:lang w:val="nl-BE"/>
        </w:rPr>
      </w:pPr>
    </w:p>
    <w:p w14:paraId="6C05D3C4" w14:textId="2849BEC1" w:rsidR="00CD221F" w:rsidRPr="00C65218" w:rsidRDefault="00C65218">
      <w:pPr>
        <w:pStyle w:val="BodyText"/>
        <w:ind w:left="647" w:right="694"/>
        <w:jc w:val="both"/>
        <w:rPr>
          <w:lang w:val="nl-BE"/>
        </w:rPr>
      </w:pPr>
      <w:r w:rsidRPr="00C65218">
        <w:rPr>
          <w:lang w:val="nl-BE"/>
        </w:rPr>
        <w:t>Wij drukken in dit verslag noch een auditoordeel, een beoordelingsconclusie, noch enige andere assuranceconclusie uit over de geconsolideerde financiële overzichten zelf. Ons auditoordeel met betrekking tot de geconsolideerde financiële overzichten van de Groep wordt uiteengezet in het commissarisverslag d.d. [datum].</w:t>
      </w:r>
    </w:p>
    <w:p w14:paraId="3699F998" w14:textId="77777777" w:rsidR="00CD221F" w:rsidRPr="00C65218" w:rsidRDefault="00CD221F">
      <w:pPr>
        <w:pStyle w:val="BodyText"/>
        <w:rPr>
          <w:sz w:val="22"/>
          <w:lang w:val="nl-BE"/>
        </w:rPr>
      </w:pPr>
    </w:p>
    <w:p w14:paraId="4C090B91" w14:textId="77777777" w:rsidR="00CD221F" w:rsidRPr="00C65218" w:rsidRDefault="00CD221F">
      <w:pPr>
        <w:pStyle w:val="BodyText"/>
        <w:spacing w:before="3"/>
        <w:rPr>
          <w:sz w:val="18"/>
          <w:lang w:val="nl-BE"/>
        </w:rPr>
      </w:pPr>
    </w:p>
    <w:p w14:paraId="120DA13B" w14:textId="77777777" w:rsidR="00CD221F" w:rsidRPr="00C65218" w:rsidRDefault="00C65218">
      <w:pPr>
        <w:pStyle w:val="Heading3"/>
        <w:rPr>
          <w:lang w:val="nl-BE"/>
        </w:rPr>
      </w:pPr>
      <w:r w:rsidRPr="00C65218">
        <w:rPr>
          <w:lang w:val="nl-BE"/>
        </w:rPr>
        <w:t>Overige aangelegenheid</w:t>
      </w:r>
    </w:p>
    <w:p w14:paraId="2FEF08F6" w14:textId="77777777" w:rsidR="00CD221F" w:rsidRPr="00C65218" w:rsidRDefault="00CD221F">
      <w:pPr>
        <w:pStyle w:val="BodyText"/>
        <w:spacing w:before="7"/>
        <w:rPr>
          <w:b/>
          <w:i/>
          <w:sz w:val="19"/>
          <w:lang w:val="nl-BE"/>
        </w:rPr>
      </w:pPr>
    </w:p>
    <w:p w14:paraId="00378583" w14:textId="2AEAE692" w:rsidR="00CD221F" w:rsidRPr="00C65218" w:rsidRDefault="00C65218">
      <w:pPr>
        <w:pStyle w:val="BodyText"/>
        <w:spacing w:before="1"/>
        <w:ind w:left="647" w:right="688" w:hanging="1"/>
        <w:jc w:val="both"/>
        <w:rPr>
          <w:lang w:val="nl-BE"/>
        </w:rPr>
      </w:pPr>
      <w:r w:rsidRPr="00C65218">
        <w:rPr>
          <w:lang w:val="nl-BE"/>
        </w:rPr>
        <w:t>De geconsolideerde financiële overzichten van [naam, rechtsvorm en ondernemingsnummer van de vennootschap]* (de “Vennootschap”) en haar filialen (samen “de Groep”) werd opgesteld door [</w:t>
      </w:r>
      <w:r w:rsidR="00364683">
        <w:rPr>
          <w:lang w:val="nl-BE"/>
        </w:rPr>
        <w:t xml:space="preserve">het </w:t>
      </w:r>
      <w:r w:rsidRPr="00C65218">
        <w:rPr>
          <w:lang w:val="nl-BE"/>
        </w:rPr>
        <w:t>bestuur</w:t>
      </w:r>
      <w:r w:rsidR="00364683">
        <w:rPr>
          <w:lang w:val="nl-BE"/>
        </w:rPr>
        <w:t>sorgaan</w:t>
      </w:r>
      <w:r w:rsidRPr="00C65218">
        <w:rPr>
          <w:lang w:val="nl-BE"/>
        </w:rPr>
        <w:t>/</w:t>
      </w:r>
      <w:r w:rsidR="00364683">
        <w:rPr>
          <w:lang w:val="nl-BE"/>
        </w:rPr>
        <w:t xml:space="preserve">de </w:t>
      </w:r>
      <w:r w:rsidRPr="00C65218">
        <w:rPr>
          <w:lang w:val="nl-BE"/>
        </w:rPr>
        <w:t>bestuurder[s]]</w:t>
      </w:r>
      <w:r w:rsidRPr="00C65218">
        <w:rPr>
          <w:spacing w:val="-5"/>
          <w:lang w:val="nl-BE"/>
        </w:rPr>
        <w:t xml:space="preserve"> </w:t>
      </w:r>
      <w:r w:rsidRPr="00C65218">
        <w:rPr>
          <w:lang w:val="nl-BE"/>
        </w:rPr>
        <w:t>van</w:t>
      </w:r>
      <w:r w:rsidRPr="00C65218">
        <w:rPr>
          <w:spacing w:val="-2"/>
          <w:lang w:val="nl-BE"/>
        </w:rPr>
        <w:t xml:space="preserve"> </w:t>
      </w:r>
      <w:r w:rsidRPr="00C65218">
        <w:rPr>
          <w:lang w:val="nl-BE"/>
        </w:rPr>
        <w:t>de</w:t>
      </w:r>
      <w:r w:rsidRPr="00C65218">
        <w:rPr>
          <w:spacing w:val="-7"/>
          <w:lang w:val="nl-BE"/>
        </w:rPr>
        <w:t xml:space="preserve"> </w:t>
      </w:r>
      <w:r w:rsidRPr="00C65218">
        <w:rPr>
          <w:lang w:val="nl-BE"/>
        </w:rPr>
        <w:t>Vennootschap</w:t>
      </w:r>
      <w:r w:rsidRPr="00C65218">
        <w:rPr>
          <w:spacing w:val="-8"/>
          <w:lang w:val="nl-BE"/>
        </w:rPr>
        <w:t xml:space="preserve"> </w:t>
      </w:r>
      <w:r w:rsidRPr="00C65218">
        <w:rPr>
          <w:lang w:val="nl-BE"/>
        </w:rPr>
        <w:t>op</w:t>
      </w:r>
      <w:r w:rsidRPr="00C65218">
        <w:rPr>
          <w:spacing w:val="-2"/>
          <w:lang w:val="nl-BE"/>
        </w:rPr>
        <w:t xml:space="preserve"> </w:t>
      </w:r>
      <w:r w:rsidRPr="00C65218">
        <w:rPr>
          <w:lang w:val="nl-BE"/>
        </w:rPr>
        <w:t>[datum]</w:t>
      </w:r>
      <w:r w:rsidRPr="00C65218">
        <w:rPr>
          <w:spacing w:val="-4"/>
          <w:lang w:val="nl-BE"/>
        </w:rPr>
        <w:t xml:space="preserve"> </w:t>
      </w:r>
      <w:r w:rsidRPr="00C65218">
        <w:rPr>
          <w:lang w:val="nl-BE"/>
        </w:rPr>
        <w:t>en</w:t>
      </w:r>
      <w:r w:rsidRPr="00C65218">
        <w:rPr>
          <w:spacing w:val="-3"/>
          <w:lang w:val="nl-BE"/>
        </w:rPr>
        <w:t xml:space="preserve"> </w:t>
      </w:r>
      <w:r w:rsidRPr="00C65218">
        <w:rPr>
          <w:lang w:val="nl-BE"/>
        </w:rPr>
        <w:t>heeft het</w:t>
      </w:r>
      <w:r w:rsidRPr="00C65218">
        <w:rPr>
          <w:spacing w:val="-4"/>
          <w:lang w:val="nl-BE"/>
        </w:rPr>
        <w:t xml:space="preserve"> </w:t>
      </w:r>
      <w:r w:rsidRPr="00C65218">
        <w:rPr>
          <w:lang w:val="nl-BE"/>
        </w:rPr>
        <w:t>voorwerp</w:t>
      </w:r>
      <w:r w:rsidRPr="00C65218">
        <w:rPr>
          <w:spacing w:val="-2"/>
          <w:lang w:val="nl-BE"/>
        </w:rPr>
        <w:t xml:space="preserve"> </w:t>
      </w:r>
      <w:r w:rsidRPr="00C65218">
        <w:rPr>
          <w:lang w:val="nl-BE"/>
        </w:rPr>
        <w:t>uitgemaakt van een wettelijke controle. Ons commissarisverslag (ondertekend op [datum]) omvat een [oordeel zonder</w:t>
      </w:r>
      <w:r w:rsidRPr="00C65218">
        <w:rPr>
          <w:spacing w:val="-18"/>
          <w:lang w:val="nl-BE"/>
        </w:rPr>
        <w:t xml:space="preserve"> </w:t>
      </w:r>
      <w:r w:rsidRPr="00C65218">
        <w:rPr>
          <w:lang w:val="nl-BE"/>
        </w:rPr>
        <w:t>voorbehoud/oordeel</w:t>
      </w:r>
      <w:r w:rsidRPr="00C65218">
        <w:rPr>
          <w:spacing w:val="-19"/>
          <w:lang w:val="nl-BE"/>
        </w:rPr>
        <w:t xml:space="preserve"> </w:t>
      </w:r>
      <w:r w:rsidRPr="00C65218">
        <w:rPr>
          <w:lang w:val="nl-BE"/>
        </w:rPr>
        <w:t>met</w:t>
      </w:r>
      <w:r w:rsidRPr="00C65218">
        <w:rPr>
          <w:spacing w:val="-15"/>
          <w:lang w:val="nl-BE"/>
        </w:rPr>
        <w:t xml:space="preserve"> </w:t>
      </w:r>
      <w:r w:rsidRPr="00C65218">
        <w:rPr>
          <w:lang w:val="nl-BE"/>
        </w:rPr>
        <w:t>voorbehoud/afkeurend</w:t>
      </w:r>
      <w:r w:rsidRPr="00C65218">
        <w:rPr>
          <w:spacing w:val="-15"/>
          <w:lang w:val="nl-BE"/>
        </w:rPr>
        <w:t xml:space="preserve"> </w:t>
      </w:r>
      <w:r w:rsidRPr="00C65218">
        <w:rPr>
          <w:lang w:val="nl-BE"/>
        </w:rPr>
        <w:t>oordeel/oordeelonthouding]</w:t>
      </w:r>
      <w:r w:rsidRPr="00C65218">
        <w:rPr>
          <w:spacing w:val="-15"/>
          <w:lang w:val="nl-BE"/>
        </w:rPr>
        <w:t xml:space="preserve"> </w:t>
      </w:r>
      <w:r w:rsidRPr="00C65218">
        <w:rPr>
          <w:lang w:val="nl-BE"/>
        </w:rPr>
        <w:t>over</w:t>
      </w:r>
      <w:r w:rsidRPr="00C65218">
        <w:rPr>
          <w:spacing w:val="-17"/>
          <w:lang w:val="nl-BE"/>
        </w:rPr>
        <w:t xml:space="preserve"> </w:t>
      </w:r>
      <w:r w:rsidRPr="00C65218">
        <w:rPr>
          <w:lang w:val="nl-BE"/>
        </w:rPr>
        <w:t>het</w:t>
      </w:r>
      <w:r w:rsidRPr="00C65218">
        <w:rPr>
          <w:spacing w:val="-16"/>
          <w:lang w:val="nl-BE"/>
        </w:rPr>
        <w:t xml:space="preserve"> </w:t>
      </w:r>
      <w:r w:rsidRPr="00C65218">
        <w:rPr>
          <w:lang w:val="nl-BE"/>
        </w:rPr>
        <w:t>getrouw beeld van het vermogen en de geconsolideerde financiële toestand van de Groep per [datum]*, alsook</w:t>
      </w:r>
      <w:r w:rsidRPr="00C65218">
        <w:rPr>
          <w:spacing w:val="-15"/>
          <w:lang w:val="nl-BE"/>
        </w:rPr>
        <w:t xml:space="preserve"> </w:t>
      </w:r>
      <w:r w:rsidRPr="00C65218">
        <w:rPr>
          <w:lang w:val="nl-BE"/>
        </w:rPr>
        <w:t>van</w:t>
      </w:r>
      <w:r w:rsidRPr="00C65218">
        <w:rPr>
          <w:spacing w:val="-16"/>
          <w:lang w:val="nl-BE"/>
        </w:rPr>
        <w:t xml:space="preserve"> </w:t>
      </w:r>
      <w:r w:rsidRPr="00C65218">
        <w:rPr>
          <w:lang w:val="nl-BE"/>
        </w:rPr>
        <w:t>zijn</w:t>
      </w:r>
      <w:r w:rsidRPr="00C65218">
        <w:rPr>
          <w:spacing w:val="-17"/>
          <w:lang w:val="nl-BE"/>
        </w:rPr>
        <w:t xml:space="preserve"> </w:t>
      </w:r>
      <w:r w:rsidRPr="00C65218">
        <w:rPr>
          <w:lang w:val="nl-BE"/>
        </w:rPr>
        <w:t>geconsolideerde</w:t>
      </w:r>
      <w:r w:rsidRPr="00C65218">
        <w:rPr>
          <w:spacing w:val="-16"/>
          <w:lang w:val="nl-BE"/>
        </w:rPr>
        <w:t xml:space="preserve"> </w:t>
      </w:r>
      <w:r w:rsidRPr="00C65218">
        <w:rPr>
          <w:lang w:val="nl-BE"/>
        </w:rPr>
        <w:t>resultaten</w:t>
      </w:r>
      <w:r w:rsidRPr="00C65218">
        <w:rPr>
          <w:spacing w:val="-17"/>
          <w:lang w:val="nl-BE"/>
        </w:rPr>
        <w:t xml:space="preserve"> </w:t>
      </w:r>
      <w:r w:rsidRPr="00C65218">
        <w:rPr>
          <w:lang w:val="nl-BE"/>
        </w:rPr>
        <w:t>en</w:t>
      </w:r>
      <w:r w:rsidRPr="00C65218">
        <w:rPr>
          <w:spacing w:val="-16"/>
          <w:lang w:val="nl-BE"/>
        </w:rPr>
        <w:t xml:space="preserve"> </w:t>
      </w:r>
      <w:r w:rsidRPr="00C65218">
        <w:rPr>
          <w:lang w:val="nl-BE"/>
        </w:rPr>
        <w:t>van</w:t>
      </w:r>
      <w:r w:rsidRPr="00C65218">
        <w:rPr>
          <w:spacing w:val="-16"/>
          <w:lang w:val="nl-BE"/>
        </w:rPr>
        <w:t xml:space="preserve"> </w:t>
      </w:r>
      <w:r w:rsidRPr="00C65218">
        <w:rPr>
          <w:lang w:val="nl-BE"/>
        </w:rPr>
        <w:t>zijn</w:t>
      </w:r>
      <w:r w:rsidRPr="00C65218">
        <w:rPr>
          <w:spacing w:val="-17"/>
          <w:lang w:val="nl-BE"/>
        </w:rPr>
        <w:t xml:space="preserve"> </w:t>
      </w:r>
      <w:r w:rsidRPr="00C65218">
        <w:rPr>
          <w:lang w:val="nl-BE"/>
        </w:rPr>
        <w:t>geconsolideerde</w:t>
      </w:r>
      <w:r w:rsidRPr="00C65218">
        <w:rPr>
          <w:spacing w:val="-16"/>
          <w:lang w:val="nl-BE"/>
        </w:rPr>
        <w:t xml:space="preserve"> </w:t>
      </w:r>
      <w:r w:rsidRPr="00C65218">
        <w:rPr>
          <w:lang w:val="nl-BE"/>
        </w:rPr>
        <w:t>kasstromen</w:t>
      </w:r>
      <w:r w:rsidRPr="00C65218">
        <w:rPr>
          <w:spacing w:val="-16"/>
          <w:lang w:val="nl-BE"/>
        </w:rPr>
        <w:t xml:space="preserve"> </w:t>
      </w:r>
      <w:r w:rsidRPr="00C65218">
        <w:rPr>
          <w:lang w:val="nl-BE"/>
        </w:rPr>
        <w:t>over</w:t>
      </w:r>
      <w:r w:rsidRPr="00C65218">
        <w:rPr>
          <w:spacing w:val="-15"/>
          <w:lang w:val="nl-BE"/>
        </w:rPr>
        <w:t xml:space="preserve"> </w:t>
      </w:r>
      <w:r w:rsidRPr="00C65218">
        <w:rPr>
          <w:lang w:val="nl-BE"/>
        </w:rPr>
        <w:t>het</w:t>
      </w:r>
      <w:r w:rsidRPr="00C65218">
        <w:rPr>
          <w:spacing w:val="-12"/>
          <w:lang w:val="nl-BE"/>
        </w:rPr>
        <w:t xml:space="preserve"> </w:t>
      </w:r>
      <w:r w:rsidRPr="00C65218">
        <w:rPr>
          <w:lang w:val="nl-BE"/>
        </w:rPr>
        <w:t>boekjaar dat op die datum is afgesloten, in overeenstemming met de International Financial Reporting Standards (IFRS) zoals goedgekeurd door de Europese Unie en met de in België van toepassing zijnde wettelijke en reglementaire</w:t>
      </w:r>
      <w:r w:rsidRPr="00C65218">
        <w:rPr>
          <w:spacing w:val="-6"/>
          <w:lang w:val="nl-BE"/>
        </w:rPr>
        <w:t xml:space="preserve"> </w:t>
      </w:r>
      <w:r w:rsidRPr="00C65218">
        <w:rPr>
          <w:lang w:val="nl-BE"/>
        </w:rPr>
        <w:t>voorschriften.</w:t>
      </w:r>
    </w:p>
    <w:p w14:paraId="6D099248" w14:textId="77777777" w:rsidR="00CD221F" w:rsidRPr="00C65218" w:rsidRDefault="00CD221F">
      <w:pPr>
        <w:pStyle w:val="BodyText"/>
        <w:rPr>
          <w:sz w:val="22"/>
          <w:lang w:val="nl-BE"/>
        </w:rPr>
      </w:pPr>
    </w:p>
    <w:p w14:paraId="1514587A" w14:textId="77777777" w:rsidR="00CD221F" w:rsidRPr="00C65218" w:rsidRDefault="00CD221F">
      <w:pPr>
        <w:pStyle w:val="BodyText"/>
        <w:rPr>
          <w:sz w:val="22"/>
          <w:lang w:val="nl-BE"/>
        </w:rPr>
      </w:pPr>
    </w:p>
    <w:p w14:paraId="4892F392" w14:textId="77777777" w:rsidR="00CD221F" w:rsidRPr="00C65218" w:rsidRDefault="00CD221F">
      <w:pPr>
        <w:pStyle w:val="BodyText"/>
        <w:rPr>
          <w:sz w:val="22"/>
          <w:lang w:val="nl-BE"/>
        </w:rPr>
      </w:pPr>
    </w:p>
    <w:p w14:paraId="48970B2B" w14:textId="77777777" w:rsidR="00CD221F" w:rsidRPr="003D1647" w:rsidRDefault="00C65218">
      <w:pPr>
        <w:pStyle w:val="BodyText"/>
        <w:spacing w:before="139"/>
        <w:ind w:left="647"/>
        <w:jc w:val="both"/>
        <w:rPr>
          <w:lang w:val="nl-BE"/>
        </w:rPr>
      </w:pPr>
      <w:r w:rsidRPr="003D1647">
        <w:rPr>
          <w:lang w:val="nl-BE"/>
        </w:rPr>
        <w:t>[Plaats], [Datum]</w:t>
      </w:r>
    </w:p>
    <w:p w14:paraId="6594565F" w14:textId="77777777" w:rsidR="00CD221F" w:rsidRPr="003D1647" w:rsidRDefault="00CD221F">
      <w:pPr>
        <w:pStyle w:val="BodyText"/>
        <w:rPr>
          <w:sz w:val="22"/>
          <w:lang w:val="nl-BE"/>
        </w:rPr>
      </w:pPr>
    </w:p>
    <w:p w14:paraId="06C26DFB" w14:textId="77777777" w:rsidR="00CD221F" w:rsidRPr="003D1647" w:rsidRDefault="00CD221F">
      <w:pPr>
        <w:pStyle w:val="BodyText"/>
        <w:spacing w:before="2"/>
        <w:rPr>
          <w:sz w:val="18"/>
          <w:lang w:val="nl-BE"/>
        </w:rPr>
      </w:pPr>
    </w:p>
    <w:p w14:paraId="537ADABC" w14:textId="77777777" w:rsidR="00F167BF" w:rsidRPr="003D1647" w:rsidRDefault="00C65218">
      <w:pPr>
        <w:pStyle w:val="BodyText"/>
        <w:ind w:left="647" w:right="6679"/>
        <w:rPr>
          <w:lang w:val="nl-BE"/>
        </w:rPr>
      </w:pPr>
      <w:r w:rsidRPr="003D1647">
        <w:rPr>
          <w:lang w:val="nl-BE"/>
        </w:rPr>
        <w:t xml:space="preserve">De commissaris </w:t>
      </w:r>
    </w:p>
    <w:p w14:paraId="6C01E623" w14:textId="3E0EA91F" w:rsidR="00CD221F" w:rsidRPr="003D1647" w:rsidRDefault="00C65218">
      <w:pPr>
        <w:pStyle w:val="BodyText"/>
        <w:ind w:left="647" w:right="6679"/>
        <w:rPr>
          <w:lang w:val="nl-BE"/>
        </w:rPr>
      </w:pPr>
      <w:r w:rsidRPr="003D1647">
        <w:rPr>
          <w:lang w:val="nl-BE"/>
        </w:rPr>
        <w:t>XXXX</w:t>
      </w:r>
    </w:p>
    <w:p w14:paraId="1FE6B026" w14:textId="77777777" w:rsidR="00CD221F" w:rsidRPr="003D1647" w:rsidRDefault="00C65218">
      <w:pPr>
        <w:pStyle w:val="BodyText"/>
        <w:spacing w:before="1"/>
        <w:ind w:left="647"/>
        <w:jc w:val="both"/>
        <w:rPr>
          <w:lang w:val="nl-BE"/>
        </w:rPr>
      </w:pPr>
      <w:r w:rsidRPr="003D1647">
        <w:rPr>
          <w:lang w:val="nl-BE"/>
        </w:rPr>
        <w:t>Vertegenwoordigd door</w:t>
      </w:r>
    </w:p>
    <w:p w14:paraId="2B45F05F" w14:textId="77777777" w:rsidR="00CD221F" w:rsidRPr="003D1647" w:rsidRDefault="00CD221F">
      <w:pPr>
        <w:pStyle w:val="BodyText"/>
        <w:rPr>
          <w:sz w:val="22"/>
          <w:lang w:val="nl-BE"/>
        </w:rPr>
      </w:pPr>
    </w:p>
    <w:p w14:paraId="352329CE" w14:textId="77777777" w:rsidR="00CD221F" w:rsidRPr="003D1647" w:rsidRDefault="00CD221F">
      <w:pPr>
        <w:pStyle w:val="BodyText"/>
        <w:rPr>
          <w:sz w:val="22"/>
          <w:lang w:val="nl-BE"/>
        </w:rPr>
      </w:pPr>
    </w:p>
    <w:p w14:paraId="21078DA4" w14:textId="77777777" w:rsidR="00CD221F" w:rsidRPr="00C65218" w:rsidRDefault="00C65218">
      <w:pPr>
        <w:pStyle w:val="BodyText"/>
        <w:spacing w:before="136"/>
        <w:ind w:left="647" w:right="5273"/>
        <w:rPr>
          <w:lang w:val="nl-BE"/>
        </w:rPr>
      </w:pPr>
      <w:r w:rsidRPr="003D1647">
        <w:rPr>
          <w:lang w:val="nl-BE"/>
        </w:rPr>
        <w:t>[Naam van de vertegenwoordiger] Bedrijfsrevisor</w:t>
      </w:r>
    </w:p>
    <w:sectPr w:rsidR="00CD221F" w:rsidRPr="00C65218">
      <w:pgSz w:w="12240" w:h="15840"/>
      <w:pgMar w:top="1500" w:right="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1267" w14:textId="77777777" w:rsidR="00A94D1A" w:rsidRDefault="00A94D1A" w:rsidP="0089572D">
      <w:r>
        <w:separator/>
      </w:r>
    </w:p>
  </w:endnote>
  <w:endnote w:type="continuationSeparator" w:id="0">
    <w:p w14:paraId="2BD61738" w14:textId="77777777" w:rsidR="00A94D1A" w:rsidRDefault="00A94D1A" w:rsidP="0089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E04B" w14:textId="77777777" w:rsidR="00A94D1A" w:rsidRDefault="00A94D1A" w:rsidP="0089572D">
      <w:r>
        <w:separator/>
      </w:r>
    </w:p>
  </w:footnote>
  <w:footnote w:type="continuationSeparator" w:id="0">
    <w:p w14:paraId="5CCADF55" w14:textId="77777777" w:rsidR="00A94D1A" w:rsidRDefault="00A94D1A" w:rsidP="0089572D">
      <w:r>
        <w:continuationSeparator/>
      </w:r>
    </w:p>
  </w:footnote>
  <w:footnote w:id="1">
    <w:p w14:paraId="67763FEF" w14:textId="2B845CD9" w:rsidR="0089572D" w:rsidRPr="00B64B61" w:rsidRDefault="0089572D">
      <w:pPr>
        <w:pStyle w:val="FootnoteText"/>
        <w:rPr>
          <w:lang w:val="nl-BE"/>
        </w:rPr>
      </w:pPr>
      <w:r>
        <w:rPr>
          <w:rStyle w:val="FootnoteReference"/>
        </w:rPr>
        <w:footnoteRef/>
      </w:r>
      <w:r w:rsidRPr="00B64B61">
        <w:rPr>
          <w:lang w:val="nl-BE"/>
        </w:rPr>
        <w:t xml:space="preserve"> </w:t>
      </w:r>
      <w:r w:rsidR="00B64B61" w:rsidRPr="00B64B61">
        <w:rPr>
          <w:sz w:val="18"/>
          <w:szCs w:val="18"/>
          <w:lang w:val="nl-BE"/>
        </w:rPr>
        <w:t xml:space="preserve">Richtlijn 2004/109/EG van het Europees Parlement en de Raad van 15 december 2004 betreffende de transparantievereisten die gelden voor informatie over uitgevende instellingen waarvan effecten tot de handel op een gereglementeerde markt zijn toegelaten en tot wijziging van Richtlijn 2001/34/EG. Deze Richtlijn is in het Belgische </w:t>
      </w:r>
      <w:bookmarkStart w:id="0" w:name="_GoBack"/>
      <w:r w:rsidR="00B64B61" w:rsidRPr="00B64B61">
        <w:rPr>
          <w:sz w:val="18"/>
          <w:szCs w:val="18"/>
          <w:lang w:val="nl-BE"/>
        </w:rPr>
        <w:t>recht</w:t>
      </w:r>
      <w:bookmarkEnd w:id="0"/>
      <w:r w:rsidR="00B64B61" w:rsidRPr="00B64B61">
        <w:rPr>
          <w:sz w:val="18"/>
          <w:szCs w:val="18"/>
          <w:lang w:val="nl-BE"/>
        </w:rPr>
        <w:t xml:space="preserve"> omgezet door het Koninlijk Besluit van 14 november 2007 betreffende </w:t>
      </w:r>
      <w:r w:rsidR="00B64B61" w:rsidRPr="00B64B61">
        <w:rPr>
          <w:rFonts w:cstheme="minorHAnsi"/>
          <w:sz w:val="18"/>
          <w:szCs w:val="18"/>
          <w:lang w:val="nl-BE"/>
        </w:rPr>
        <w:t xml:space="preserve">de verplichtingen van emittenten van financiële instrumenten die zijn toegelaten tot de verhandeling op een gereglementeerde markt. </w:t>
      </w:r>
      <w:bookmarkStart w:id="1" w:name="_Hlk59186980"/>
      <w:r w:rsidR="00B64B61" w:rsidRPr="00B64B61">
        <w:rPr>
          <w:rFonts w:cstheme="minorHAnsi"/>
          <w:sz w:val="18"/>
          <w:szCs w:val="18"/>
          <w:lang w:val="nl-BE"/>
        </w:rPr>
        <w:t>De bepalingen met betrekking tot de ESEF-vereisten zijn echter nog niet omgezet.</w:t>
      </w:r>
    </w:p>
    <w:bookmarkEnd w:id="1"/>
  </w:footnote>
  <w:footnote w:id="2">
    <w:p w14:paraId="7B6CBA44" w14:textId="2C017228" w:rsidR="0089572D" w:rsidRPr="00B64B61" w:rsidRDefault="0089572D">
      <w:pPr>
        <w:pStyle w:val="FootnoteText"/>
        <w:rPr>
          <w:lang w:val="nl-BE"/>
        </w:rPr>
      </w:pPr>
      <w:r>
        <w:rPr>
          <w:rStyle w:val="FootnoteReference"/>
        </w:rPr>
        <w:footnoteRef/>
      </w:r>
      <w:r w:rsidRPr="00B64B61">
        <w:rPr>
          <w:lang w:val="nl-BE"/>
        </w:rPr>
        <w:t xml:space="preserve"> </w:t>
      </w:r>
      <w:r w:rsidR="00B64B61" w:rsidRPr="00B64B61">
        <w:rPr>
          <w:sz w:val="18"/>
          <w:szCs w:val="18"/>
          <w:lang w:val="nl-BE"/>
        </w:rPr>
        <w:t xml:space="preserve">Gedelegeerde Verordening (EU) 2018/815 van de Commissie van 17 december 2018 tot aanvulling van Richtlijn 2004/109/EG van het Europees Parlement en de Raad met technische reguleringsnormen voor de specificatie van een uniform elektronisch verslagleggingsformaat. </w:t>
      </w:r>
      <w:r w:rsidR="00B64B61" w:rsidRPr="00B64B61">
        <w:rPr>
          <w:sz w:val="18"/>
          <w:szCs w:val="18"/>
          <w:lang w:val="nl-BE"/>
        </w:rPr>
        <w:t xml:space="preserve">De Gedelegeerde Verordening is rechtstreeks </w:t>
      </w:r>
      <w:r w:rsidR="00B64B61" w:rsidRPr="00B64B61">
        <w:rPr>
          <w:sz w:val="18"/>
          <w:szCs w:val="18"/>
          <w:lang w:val="nl-BE"/>
        </w:rPr>
        <w:t>van toepassing in Belgisch recht.</w:t>
      </w:r>
      <w:r w:rsidR="00B64B61">
        <w:rPr>
          <w:lang w:val="nl-BE"/>
        </w:rPr>
        <w:t xml:space="preserve"> </w:t>
      </w:r>
    </w:p>
  </w:footnote>
  <w:footnote w:id="3">
    <w:p w14:paraId="296E3388" w14:textId="78638DDC" w:rsidR="0089572D" w:rsidRPr="00B64B61" w:rsidRDefault="0089572D">
      <w:pPr>
        <w:pStyle w:val="FootnoteText"/>
        <w:rPr>
          <w:lang w:val="nl-BE"/>
        </w:rPr>
      </w:pPr>
      <w:r>
        <w:rPr>
          <w:rStyle w:val="FootnoteReference"/>
        </w:rPr>
        <w:footnoteRef/>
      </w:r>
      <w:r w:rsidRPr="00B64B61">
        <w:rPr>
          <w:lang w:val="nl-BE"/>
        </w:rPr>
        <w:t xml:space="preserve"> </w:t>
      </w:r>
      <w:r w:rsidR="00B64B61" w:rsidRPr="00B64B61">
        <w:rPr>
          <w:sz w:val="18"/>
          <w:szCs w:val="18"/>
          <w:lang w:val="nl-BE"/>
        </w:rPr>
        <w:t>Ibid. 1.</w:t>
      </w:r>
    </w:p>
  </w:footnote>
  <w:footnote w:id="4">
    <w:p w14:paraId="43B2374C" w14:textId="37A426BE" w:rsidR="0089572D" w:rsidRPr="00B64B61" w:rsidRDefault="0089572D">
      <w:pPr>
        <w:pStyle w:val="FootnoteText"/>
        <w:rPr>
          <w:lang w:val="nl-BE"/>
        </w:rPr>
      </w:pPr>
      <w:r>
        <w:rPr>
          <w:rStyle w:val="FootnoteReference"/>
        </w:rPr>
        <w:footnoteRef/>
      </w:r>
      <w:r w:rsidRPr="00B64B61">
        <w:rPr>
          <w:lang w:val="nl-BE"/>
        </w:rPr>
        <w:t xml:space="preserve"> </w:t>
      </w:r>
      <w:r w:rsidR="00B64B61" w:rsidRPr="00B64B61">
        <w:rPr>
          <w:sz w:val="18"/>
          <w:szCs w:val="18"/>
          <w:lang w:val="nl-BE"/>
        </w:rPr>
        <w:t>Ibid. 2.</w:t>
      </w:r>
    </w:p>
  </w:footnote>
  <w:footnote w:id="5">
    <w:p w14:paraId="7F2E8C44" w14:textId="5891C783" w:rsidR="00B64B61" w:rsidRPr="00B64B61" w:rsidRDefault="00B64B61">
      <w:pPr>
        <w:pStyle w:val="FootnoteText"/>
        <w:rPr>
          <w:lang w:val="nl-BE"/>
        </w:rPr>
      </w:pPr>
      <w:r>
        <w:rPr>
          <w:rStyle w:val="FootnoteReference"/>
        </w:rPr>
        <w:footnoteRef/>
      </w:r>
      <w:r w:rsidRPr="00B64B61">
        <w:rPr>
          <w:lang w:val="nl-BE"/>
        </w:rPr>
        <w:t xml:space="preserve"> </w:t>
      </w:r>
      <w:r w:rsidRPr="00B64B61">
        <w:rPr>
          <w:sz w:val="18"/>
          <w:szCs w:val="18"/>
          <w:lang w:val="nl-BE"/>
        </w:rPr>
        <w:t>Ibid. 1.</w:t>
      </w:r>
      <w:r w:rsidRPr="00B64B61">
        <w:rPr>
          <w:lang w:val="nl-BE"/>
        </w:rPr>
        <w:t xml:space="preserve"> </w:t>
      </w:r>
    </w:p>
  </w:footnote>
  <w:footnote w:id="6">
    <w:p w14:paraId="3CF60F58" w14:textId="77777777" w:rsidR="00B64B61" w:rsidRPr="00C65218" w:rsidRDefault="00B64B61" w:rsidP="00B64B61">
      <w:pPr>
        <w:spacing w:before="62" w:line="244" w:lineRule="auto"/>
        <w:ind w:left="647"/>
        <w:rPr>
          <w:sz w:val="18"/>
          <w:lang w:val="nl-BE"/>
        </w:rPr>
      </w:pPr>
      <w:r>
        <w:rPr>
          <w:rStyle w:val="FootnoteReference"/>
        </w:rPr>
        <w:footnoteRef/>
      </w:r>
      <w:r w:rsidRPr="00B64B61">
        <w:rPr>
          <w:lang w:val="nl-BE"/>
        </w:rPr>
        <w:t xml:space="preserve"> </w:t>
      </w:r>
      <w:r w:rsidRPr="00B64B61">
        <w:rPr>
          <w:sz w:val="18"/>
          <w:szCs w:val="18"/>
          <w:lang w:val="nl-BE"/>
        </w:rPr>
        <w:t>De toepassing van de procedures tussen haakjes moet op basis van de professionele oordeelsvorming van de commissaris worden bepaald.</w:t>
      </w:r>
    </w:p>
    <w:p w14:paraId="75336126" w14:textId="46B76A3A" w:rsidR="00B64B61" w:rsidRPr="00B64B61" w:rsidRDefault="00B64B61">
      <w:pPr>
        <w:pStyle w:val="FootnoteTex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EB5"/>
    <w:multiLevelType w:val="hybridMultilevel"/>
    <w:tmpl w:val="593CEE8E"/>
    <w:lvl w:ilvl="0" w:tplc="5C5A6090">
      <w:numFmt w:val="bullet"/>
      <w:lvlText w:val="●"/>
      <w:lvlJc w:val="left"/>
      <w:pPr>
        <w:ind w:left="1002" w:hanging="356"/>
      </w:pPr>
      <w:rPr>
        <w:rFonts w:ascii="Calibri" w:eastAsia="Calibri" w:hAnsi="Calibri" w:cs="Calibri" w:hint="default"/>
        <w:w w:val="100"/>
        <w:sz w:val="20"/>
        <w:szCs w:val="20"/>
      </w:rPr>
    </w:lvl>
    <w:lvl w:ilvl="1" w:tplc="EB8C13D6">
      <w:numFmt w:val="bullet"/>
      <w:lvlText w:val="•"/>
      <w:lvlJc w:val="left"/>
      <w:pPr>
        <w:ind w:left="1918" w:hanging="356"/>
      </w:pPr>
      <w:rPr>
        <w:rFonts w:hint="default"/>
      </w:rPr>
    </w:lvl>
    <w:lvl w:ilvl="2" w:tplc="609465E2">
      <w:numFmt w:val="bullet"/>
      <w:lvlText w:val="•"/>
      <w:lvlJc w:val="left"/>
      <w:pPr>
        <w:ind w:left="2836" w:hanging="356"/>
      </w:pPr>
      <w:rPr>
        <w:rFonts w:hint="default"/>
      </w:rPr>
    </w:lvl>
    <w:lvl w:ilvl="3" w:tplc="E4C2A63A">
      <w:numFmt w:val="bullet"/>
      <w:lvlText w:val="•"/>
      <w:lvlJc w:val="left"/>
      <w:pPr>
        <w:ind w:left="3754" w:hanging="356"/>
      </w:pPr>
      <w:rPr>
        <w:rFonts w:hint="default"/>
      </w:rPr>
    </w:lvl>
    <w:lvl w:ilvl="4" w:tplc="92DC76E2">
      <w:numFmt w:val="bullet"/>
      <w:lvlText w:val="•"/>
      <w:lvlJc w:val="left"/>
      <w:pPr>
        <w:ind w:left="4672" w:hanging="356"/>
      </w:pPr>
      <w:rPr>
        <w:rFonts w:hint="default"/>
      </w:rPr>
    </w:lvl>
    <w:lvl w:ilvl="5" w:tplc="1D64DABA">
      <w:numFmt w:val="bullet"/>
      <w:lvlText w:val="•"/>
      <w:lvlJc w:val="left"/>
      <w:pPr>
        <w:ind w:left="5590" w:hanging="356"/>
      </w:pPr>
      <w:rPr>
        <w:rFonts w:hint="default"/>
      </w:rPr>
    </w:lvl>
    <w:lvl w:ilvl="6" w:tplc="89642B00">
      <w:numFmt w:val="bullet"/>
      <w:lvlText w:val="•"/>
      <w:lvlJc w:val="left"/>
      <w:pPr>
        <w:ind w:left="6508" w:hanging="356"/>
      </w:pPr>
      <w:rPr>
        <w:rFonts w:hint="default"/>
      </w:rPr>
    </w:lvl>
    <w:lvl w:ilvl="7" w:tplc="F2484358">
      <w:numFmt w:val="bullet"/>
      <w:lvlText w:val="•"/>
      <w:lvlJc w:val="left"/>
      <w:pPr>
        <w:ind w:left="7426" w:hanging="356"/>
      </w:pPr>
      <w:rPr>
        <w:rFonts w:hint="default"/>
      </w:rPr>
    </w:lvl>
    <w:lvl w:ilvl="8" w:tplc="14A09086">
      <w:numFmt w:val="bullet"/>
      <w:lvlText w:val="•"/>
      <w:lvlJc w:val="left"/>
      <w:pPr>
        <w:ind w:left="8344"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1F"/>
    <w:rsid w:val="000547AA"/>
    <w:rsid w:val="0008174F"/>
    <w:rsid w:val="0016424B"/>
    <w:rsid w:val="001656DA"/>
    <w:rsid w:val="00361168"/>
    <w:rsid w:val="00364683"/>
    <w:rsid w:val="003D1647"/>
    <w:rsid w:val="00643ACE"/>
    <w:rsid w:val="007B2E8B"/>
    <w:rsid w:val="0089572D"/>
    <w:rsid w:val="00A56037"/>
    <w:rsid w:val="00A94D1A"/>
    <w:rsid w:val="00B20375"/>
    <w:rsid w:val="00B64B61"/>
    <w:rsid w:val="00C65218"/>
    <w:rsid w:val="00CD221F"/>
    <w:rsid w:val="00DA539C"/>
    <w:rsid w:val="00DF5A38"/>
    <w:rsid w:val="00F1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9AF8"/>
  <w15:docId w15:val="{A86550FF-FBE1-4ADE-A2BE-B3E5D10A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647"/>
      <w:outlineLvl w:val="1"/>
    </w:pPr>
    <w:rPr>
      <w:b/>
      <w:bCs/>
      <w:sz w:val="20"/>
      <w:szCs w:val="20"/>
    </w:rPr>
  </w:style>
  <w:style w:type="paragraph" w:styleId="Heading3">
    <w:name w:val="heading 3"/>
    <w:basedOn w:val="Normal"/>
    <w:uiPriority w:val="9"/>
    <w:unhideWhenUsed/>
    <w:qFormat/>
    <w:pPr>
      <w:ind w:left="647"/>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002" w:right="693" w:hanging="35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5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18"/>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89572D"/>
    <w:rPr>
      <w:sz w:val="20"/>
      <w:szCs w:val="20"/>
    </w:rPr>
  </w:style>
  <w:style w:type="character" w:customStyle="1" w:styleId="FootnoteTextChar">
    <w:name w:val="Footnote Text Char"/>
    <w:basedOn w:val="DefaultParagraphFont"/>
    <w:link w:val="FootnoteText"/>
    <w:uiPriority w:val="99"/>
    <w:semiHidden/>
    <w:rsid w:val="0089572D"/>
    <w:rPr>
      <w:rFonts w:ascii="Arial" w:eastAsia="Arial" w:hAnsi="Arial" w:cs="Arial"/>
      <w:sz w:val="20"/>
      <w:szCs w:val="20"/>
    </w:rPr>
  </w:style>
  <w:style w:type="character" w:styleId="FootnoteReference">
    <w:name w:val="footnote reference"/>
    <w:basedOn w:val="DefaultParagraphFont"/>
    <w:uiPriority w:val="99"/>
    <w:semiHidden/>
    <w:unhideWhenUsed/>
    <w:rsid w:val="00895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1CFB9-8F51-403D-A66C-6AA71DE9BFBB}">
  <ds:schemaRefs>
    <ds:schemaRef ds:uri="http://schemas.openxmlformats.org/officeDocument/2006/bibliography"/>
  </ds:schemaRefs>
</ds:datastoreItem>
</file>

<file path=customXml/itemProps2.xml><?xml version="1.0" encoding="utf-8"?>
<ds:datastoreItem xmlns:ds="http://schemas.openxmlformats.org/officeDocument/2006/customXml" ds:itemID="{2CFBA1A4-B676-4822-A60A-ABDA5F27A289}"/>
</file>

<file path=customXml/itemProps3.xml><?xml version="1.0" encoding="utf-8"?>
<ds:datastoreItem xmlns:ds="http://schemas.openxmlformats.org/officeDocument/2006/customXml" ds:itemID="{0A8B9D11-42CF-4296-AAE3-DE15C028FD17}"/>
</file>

<file path=customXml/itemProps4.xml><?xml version="1.0" encoding="utf-8"?>
<ds:datastoreItem xmlns:ds="http://schemas.openxmlformats.org/officeDocument/2006/customXml" ds:itemID="{D82C52D1-00CE-4525-A0A4-76390C24B52C}"/>
</file>

<file path=customXml/itemProps5.xml><?xml version="1.0" encoding="utf-8"?>
<ds:datastoreItem xmlns:ds="http://schemas.openxmlformats.org/officeDocument/2006/customXml" ds:itemID="{7D50AC0E-DE40-444D-AD1B-4E7B1043617D}"/>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Fele</dc:creator>
  <cp:lastModifiedBy>Roby Fele</cp:lastModifiedBy>
  <cp:revision>2</cp:revision>
  <dcterms:created xsi:type="dcterms:W3CDTF">2020-12-18T13:37:00Z</dcterms:created>
  <dcterms:modified xsi:type="dcterms:W3CDTF">2020-12-18T13:37:00Z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Acrobat PDFMaker 20 for Word</vt:lpwstr>
  </property>
  <property fmtid="{D5CDD505-2E9C-101B-9397-08002B2CF9AE}" pid="4" name="LastSaved">
    <vt:filetime>2020-12-17T00:00:00Z</vt:filetime>
  </property>
  <property fmtid="{D5CDD505-2E9C-101B-9397-08002B2CF9AE}" pid="5" name="ContentTypeId">
    <vt:lpwstr>0x0101001BE25E8087975C46B0FC438956121164</vt:lpwstr>
  </property>
</Properties>
</file>