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D72" w:rsidRDefault="00CF6D72" w:rsidP="00E90EC5">
      <w:pPr>
        <w:spacing w:after="0" w:line="240" w:lineRule="auto"/>
        <w:jc w:val="both"/>
        <w:rPr>
          <w:rFonts w:ascii="Times New Roman" w:hAnsi="Times New Roman"/>
          <w:b/>
          <w:sz w:val="24"/>
          <w:szCs w:val="24"/>
        </w:rPr>
      </w:pPr>
      <w:bookmarkStart w:id="0" w:name="OLE_LINK2"/>
      <w:bookmarkStart w:id="1" w:name="OLE_LINK3"/>
      <w:bookmarkStart w:id="2" w:name="_GoBack"/>
      <w:bookmarkEnd w:id="2"/>
    </w:p>
    <w:p w:rsidR="00CF6D72" w:rsidRPr="00F90959" w:rsidRDefault="00CF6D72" w:rsidP="00CF6D72">
      <w:pPr>
        <w:keepNext/>
        <w:keepLines/>
        <w:spacing w:before="240" w:after="0"/>
        <w:jc w:val="center"/>
        <w:outlineLvl w:val="0"/>
        <w:rPr>
          <w:rFonts w:ascii="Cambria" w:hAnsi="Cambria"/>
          <w:color w:val="365F91"/>
          <w:sz w:val="32"/>
          <w:lang w:val="en-GB"/>
        </w:rPr>
      </w:pPr>
      <w:bookmarkStart w:id="3" w:name="_Toc505264875"/>
      <w:r w:rsidRPr="00F90959">
        <w:rPr>
          <w:rFonts w:ascii="Cambria" w:hAnsi="Cambria"/>
          <w:color w:val="365F91"/>
          <w:sz w:val="32"/>
          <w:lang w:val="en-GB"/>
        </w:rPr>
        <w:t>Appendices – Report templates</w:t>
      </w:r>
      <w:bookmarkEnd w:id="3"/>
      <w:r>
        <w:rPr>
          <w:rFonts w:ascii="Cambria" w:hAnsi="Cambria"/>
          <w:color w:val="365F91"/>
          <w:sz w:val="32"/>
          <w:lang w:val="en-GB"/>
        </w:rPr>
        <w:t xml:space="preserve"> in </w:t>
      </w:r>
      <w:r w:rsidR="00067A97">
        <w:rPr>
          <w:rFonts w:ascii="Cambria" w:hAnsi="Cambria"/>
          <w:color w:val="365F91"/>
          <w:sz w:val="32"/>
          <w:lang w:val="en-GB"/>
        </w:rPr>
        <w:t>German</w:t>
      </w:r>
    </w:p>
    <w:p w:rsidR="00CF6D72" w:rsidRPr="00F90959" w:rsidRDefault="00CF6D72" w:rsidP="00CF6D72">
      <w:pPr>
        <w:spacing w:after="0" w:line="360" w:lineRule="auto"/>
        <w:jc w:val="both"/>
        <w:rPr>
          <w:rFonts w:ascii="Times New Roman" w:hAnsi="Times New Roman"/>
          <w:b/>
          <w:sz w:val="24"/>
          <w:lang w:val="en-GB"/>
        </w:rPr>
      </w:pPr>
    </w:p>
    <w:p w:rsidR="00CF6D72" w:rsidRPr="00F90959" w:rsidRDefault="00CF6D72" w:rsidP="00CF6D72">
      <w:pPr>
        <w:spacing w:after="0" w:line="360" w:lineRule="auto"/>
        <w:jc w:val="both"/>
        <w:rPr>
          <w:rFonts w:ascii="Times New Roman" w:hAnsi="Times New Roman"/>
          <w:sz w:val="24"/>
          <w:lang w:val="en-GB"/>
        </w:rPr>
      </w:pPr>
      <w:r w:rsidRPr="00F90959">
        <w:rPr>
          <w:rFonts w:ascii="Times New Roman" w:hAnsi="Times New Roman"/>
          <w:b/>
          <w:sz w:val="24"/>
          <w:lang w:val="en-GB"/>
        </w:rPr>
        <w:t>Appendices to the new draft standard (revised in 2018) that is supplementary</w:t>
      </w:r>
      <w:r w:rsidRPr="00F90959">
        <w:rPr>
          <w:rFonts w:ascii="Times New Roman" w:hAnsi="Times New Roman"/>
          <w:b/>
          <w:sz w:val="24"/>
          <w:lang w:val="en-GB"/>
        </w:rPr>
        <w:br/>
        <w:t>to the International Standards on Auditing (ISA) as applicable in Belgium –</w:t>
      </w:r>
      <w:r w:rsidRPr="0088640C">
        <w:rPr>
          <w:rFonts w:ascii="Times New Roman" w:hAnsi="Times New Roman"/>
          <w:b/>
          <w:sz w:val="24"/>
        </w:rPr>
        <w:br/>
        <w:t xml:space="preserve">The statutory auditor’s report in the context of a statutory audit of annual or </w:t>
      </w:r>
      <w:r>
        <w:rPr>
          <w:rFonts w:ascii="Times New Roman" w:hAnsi="Times New Roman"/>
          <w:b/>
          <w:sz w:val="24"/>
        </w:rPr>
        <w:t>consolidated financial statements</w:t>
      </w:r>
      <w:r w:rsidRPr="0088640C">
        <w:rPr>
          <w:rFonts w:ascii="Times New Roman" w:hAnsi="Times New Roman"/>
          <w:b/>
          <w:sz w:val="24"/>
        </w:rPr>
        <w:t xml:space="preserve"> and other aspects relating to the statutory auditor’s engagement</w:t>
      </w:r>
    </w:p>
    <w:p w:rsidR="00CF6D72" w:rsidRPr="00F90959" w:rsidRDefault="00CF6D72" w:rsidP="00CF6D72">
      <w:pPr>
        <w:spacing w:after="0" w:line="360" w:lineRule="auto"/>
        <w:jc w:val="both"/>
        <w:rPr>
          <w:rFonts w:ascii="Times New Roman" w:hAnsi="Times New Roman"/>
          <w:sz w:val="24"/>
          <w:lang w:val="en-GB"/>
        </w:rPr>
      </w:pPr>
    </w:p>
    <w:p w:rsidR="00CF6D72" w:rsidRPr="00F90959" w:rsidRDefault="00CF6D72" w:rsidP="00CF6D72">
      <w:pPr>
        <w:spacing w:after="0" w:line="360" w:lineRule="auto"/>
        <w:jc w:val="both"/>
        <w:rPr>
          <w:rFonts w:ascii="Times New Roman" w:hAnsi="Times New Roman"/>
          <w:b/>
          <w:sz w:val="24"/>
          <w:lang w:val="en-GB"/>
        </w:rPr>
      </w:pPr>
      <w:r w:rsidRPr="00F90959">
        <w:rPr>
          <w:rFonts w:ascii="Times New Roman" w:hAnsi="Times New Roman"/>
          <w:b/>
          <w:sz w:val="24"/>
          <w:lang w:val="en-GB"/>
        </w:rPr>
        <w:t xml:space="preserve">Effective for </w:t>
      </w:r>
      <w:r>
        <w:rPr>
          <w:rFonts w:ascii="Times New Roman" w:hAnsi="Times New Roman"/>
          <w:b/>
          <w:sz w:val="24"/>
        </w:rPr>
        <w:t>year</w:t>
      </w:r>
      <w:r w:rsidRPr="0088640C">
        <w:rPr>
          <w:rFonts w:ascii="Times New Roman" w:hAnsi="Times New Roman"/>
          <w:b/>
          <w:sz w:val="24"/>
        </w:rPr>
        <w:t xml:space="preserve">s </w:t>
      </w:r>
      <w:r w:rsidRPr="0088640C">
        <w:rPr>
          <w:rFonts w:ascii="Times New Roman" w:hAnsi="Times New Roman"/>
          <w:b/>
          <w:i/>
          <w:sz w:val="24"/>
        </w:rPr>
        <w:t>beginning</w:t>
      </w:r>
      <w:r w:rsidRPr="0088640C">
        <w:rPr>
          <w:rFonts w:ascii="Times New Roman" w:hAnsi="Times New Roman"/>
          <w:b/>
          <w:sz w:val="24"/>
        </w:rPr>
        <w:t xml:space="preserve"> on or after 1 January 2017 </w:t>
      </w:r>
    </w:p>
    <w:p w:rsidR="00CF6D72" w:rsidRPr="00F90959" w:rsidRDefault="00CF6D72" w:rsidP="00CF6D72">
      <w:pPr>
        <w:spacing w:after="0" w:line="240" w:lineRule="auto"/>
        <w:jc w:val="both"/>
        <w:rPr>
          <w:rFonts w:ascii="Times New Roman" w:hAnsi="Times New Roman"/>
          <w:sz w:val="24"/>
          <w:lang w:val="en-GB"/>
        </w:rPr>
      </w:pPr>
    </w:p>
    <w:p w:rsidR="00CF6D72" w:rsidRPr="00F90959" w:rsidRDefault="00CF6D72" w:rsidP="00CF6D72">
      <w:pPr>
        <w:jc w:val="both"/>
        <w:rPr>
          <w:lang w:val="en-GB"/>
        </w:rPr>
      </w:pPr>
    </w:p>
    <w:p w:rsidR="00CF6D72" w:rsidRPr="00F90959" w:rsidRDefault="00607210" w:rsidP="00CF6D72">
      <w:pPr>
        <w:tabs>
          <w:tab w:val="left" w:pos="3261"/>
          <w:tab w:val="right" w:leader="dot" w:pos="8811"/>
        </w:tabs>
        <w:spacing w:after="0" w:line="360" w:lineRule="auto"/>
        <w:ind w:left="1134" w:hanging="1134"/>
        <w:jc w:val="both"/>
        <w:rPr>
          <w:rFonts w:ascii="Times New Roman" w:hAnsi="Times New Roman"/>
          <w:lang w:val="en-GB"/>
        </w:rPr>
      </w:pPr>
      <w:hyperlink w:anchor="Annexe_1" w:history="1">
        <w:r w:rsidR="00CF6D72" w:rsidRPr="00F90959">
          <w:rPr>
            <w:rFonts w:ascii="Times New Roman" w:hAnsi="Times New Roman"/>
            <w:color w:val="0000FF"/>
            <w:u w:val="single"/>
            <w:lang w:val="en-GB"/>
          </w:rPr>
          <w:t xml:space="preserve">Appendix 1 – Report template – Annual accounts – Entity other than </w:t>
        </w:r>
        <w:r w:rsidR="00CF6D72" w:rsidRPr="0088640C">
          <w:rPr>
            <w:rFonts w:ascii="Times New Roman" w:hAnsi="Times New Roman"/>
            <w:color w:val="0000FF"/>
            <w:u w:val="single"/>
          </w:rPr>
          <w:t>a PIE, a listed entity, a non-profit organisation, an international non-profit organisation or a foundation</w:t>
        </w:r>
      </w:hyperlink>
    </w:p>
    <w:p w:rsidR="00CF6D72" w:rsidRDefault="00CF6D72" w:rsidP="00E90EC5">
      <w:pPr>
        <w:spacing w:after="0" w:line="240" w:lineRule="auto"/>
        <w:jc w:val="both"/>
        <w:rPr>
          <w:rFonts w:ascii="Times New Roman" w:hAnsi="Times New Roman"/>
          <w:b/>
          <w:sz w:val="24"/>
          <w:szCs w:val="24"/>
          <w:lang w:val="en-GB"/>
        </w:rPr>
      </w:pPr>
      <w:r>
        <w:rPr>
          <w:rFonts w:ascii="Times New Roman" w:hAnsi="Times New Roman"/>
          <w:b/>
          <w:sz w:val="24"/>
          <w:szCs w:val="24"/>
          <w:lang w:val="en-GB"/>
        </w:rPr>
        <w:br w:type="page"/>
      </w:r>
    </w:p>
    <w:p w:rsidR="00CF6D72" w:rsidRPr="00CF6D72" w:rsidRDefault="00CF6D72" w:rsidP="00CF6D72">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Cambria" w:eastAsiaTheme="minorHAnsi" w:hAnsi="Cambria" w:cstheme="minorBidi"/>
          <w:caps/>
          <w:color w:val="365F91"/>
          <w:sz w:val="32"/>
        </w:rPr>
      </w:pPr>
      <w:bookmarkStart w:id="4" w:name="Annexe_1"/>
      <w:r w:rsidRPr="00CF6D72">
        <w:rPr>
          <w:rFonts w:ascii="Cambria" w:hAnsi="Cambria"/>
          <w:color w:val="365F91"/>
          <w:sz w:val="32"/>
        </w:rPr>
        <w:lastRenderedPageBreak/>
        <w:t>APPENDIX 1</w:t>
      </w:r>
      <w:bookmarkEnd w:id="4"/>
      <w:r w:rsidRPr="00CF6D72">
        <w:rPr>
          <w:rFonts w:ascii="Cambria" w:hAnsi="Cambria"/>
          <w:color w:val="365F91"/>
          <w:sz w:val="32"/>
        </w:rPr>
        <w:t xml:space="preserve"> – REPORT TEMPLATE – ANNUAL ACC</w:t>
      </w:r>
      <w:r w:rsidRPr="00F90959">
        <w:rPr>
          <w:rFonts w:ascii="Cambria" w:hAnsi="Cambria"/>
          <w:color w:val="365F91"/>
          <w:sz w:val="32"/>
        </w:rPr>
        <w:t xml:space="preserve">OUNTS – </w:t>
      </w:r>
      <w:r w:rsidRPr="00F90959">
        <w:rPr>
          <w:rFonts w:ascii="Cambria" w:hAnsi="Cambria"/>
          <w:caps/>
          <w:color w:val="365F91"/>
          <w:sz w:val="32"/>
        </w:rPr>
        <w:t>Entity other than a PIE, a listed entity,</w:t>
      </w:r>
      <w:r>
        <w:rPr>
          <w:rFonts w:ascii="Cambria" w:hAnsi="Cambria"/>
          <w:caps/>
          <w:color w:val="365F91"/>
          <w:sz w:val="32"/>
        </w:rPr>
        <w:t xml:space="preserve"> </w:t>
      </w:r>
      <w:r w:rsidRPr="00F90959">
        <w:rPr>
          <w:rFonts w:ascii="Cambria" w:hAnsi="Cambria"/>
          <w:caps/>
          <w:color w:val="365F91"/>
          <w:sz w:val="32"/>
        </w:rPr>
        <w:t>a non-profit organisation, an international</w:t>
      </w:r>
      <w:r w:rsidRPr="00F90959">
        <w:rPr>
          <w:rFonts w:ascii="Cambria" w:hAnsi="Cambria"/>
          <w:caps/>
          <w:color w:val="365F91"/>
          <w:sz w:val="32"/>
        </w:rPr>
        <w:br/>
        <w:t>non-profit organisation or a foundation</w:t>
      </w:r>
      <w:r w:rsidRPr="00F90959">
        <w:rPr>
          <w:rFonts w:ascii="Times New Roman" w:hAnsi="Times New Roman"/>
          <w:caps/>
          <w:color w:val="365F91"/>
          <w:sz w:val="28"/>
          <w:vertAlign w:val="superscript"/>
          <w:lang w:val="en-GB"/>
        </w:rPr>
        <w:footnoteReference w:id="1"/>
      </w:r>
    </w:p>
    <w:p w:rsidR="00E90EC5" w:rsidRPr="00CF6D72" w:rsidRDefault="00E90EC5" w:rsidP="00E90EC5">
      <w:pPr>
        <w:spacing w:after="0" w:line="240" w:lineRule="auto"/>
        <w:jc w:val="both"/>
        <w:rPr>
          <w:rFonts w:ascii="Times New Roman" w:hAnsi="Times New Roman"/>
          <w:b/>
          <w:sz w:val="24"/>
          <w:szCs w:val="24"/>
        </w:rPr>
      </w:pPr>
    </w:p>
    <w:p w:rsidR="00CF6D72" w:rsidRDefault="00CF6D72" w:rsidP="00CF6D72">
      <w:pPr>
        <w:spacing w:after="0" w:line="240" w:lineRule="auto"/>
        <w:jc w:val="both"/>
        <w:rPr>
          <w:rFonts w:ascii="Times New Roman" w:hAnsi="Times New Roman"/>
          <w:b/>
          <w:sz w:val="24"/>
          <w:szCs w:val="24"/>
        </w:rPr>
      </w:pPr>
      <w:r>
        <w:rPr>
          <w:rFonts w:ascii="Times New Roman" w:hAnsi="Times New Roman"/>
          <w:b/>
          <w:sz w:val="24"/>
          <w:szCs w:val="24"/>
        </w:rPr>
        <w:t xml:space="preserve">BERICHT DES KOMMISSARS AN DIE GENERALVERSAMMLUNG </w:t>
      </w:r>
      <w:r w:rsidRPr="00D830F3">
        <w:rPr>
          <w:rFonts w:ascii="Times New Roman" w:hAnsi="Times New Roman"/>
          <w:b/>
          <w:sz w:val="24"/>
          <w:szCs w:val="24"/>
        </w:rPr>
        <w:t xml:space="preserve">DER </w:t>
      </w:r>
      <w:r>
        <w:rPr>
          <w:rFonts w:ascii="Times New Roman" w:hAnsi="Times New Roman"/>
          <w:b/>
          <w:sz w:val="24"/>
          <w:szCs w:val="24"/>
        </w:rPr>
        <w:t>[</w:t>
      </w:r>
      <w:r>
        <w:rPr>
          <w:rFonts w:ascii="Times New Roman" w:hAnsi="Times New Roman"/>
          <w:b/>
          <w:sz w:val="24"/>
          <w:szCs w:val="24"/>
          <w:highlight w:val="lightGray"/>
        </w:rPr>
        <w:t>FIRMA</w:t>
      </w:r>
      <w:r w:rsidRPr="00D830F3">
        <w:rPr>
          <w:rFonts w:ascii="Times New Roman" w:hAnsi="Times New Roman"/>
          <w:b/>
          <w:sz w:val="24"/>
          <w:szCs w:val="24"/>
          <w:highlight w:val="lightGray"/>
        </w:rPr>
        <w:t xml:space="preserve"> + GESELLSCHAFTSFORM] (siehe Satzung)</w:t>
      </w:r>
      <w:r>
        <w:rPr>
          <w:rFonts w:ascii="Times New Roman" w:hAnsi="Times New Roman"/>
          <w:b/>
          <w:sz w:val="24"/>
          <w:szCs w:val="24"/>
        </w:rPr>
        <w:t xml:space="preserve"> ÜBER DAS GESCHÄFTSJAHR ABGESCHLOSSEN ZUM [</w:t>
      </w:r>
      <w:r w:rsidRPr="00D830F3">
        <w:rPr>
          <w:rFonts w:ascii="Times New Roman" w:hAnsi="Times New Roman"/>
          <w:b/>
          <w:sz w:val="24"/>
          <w:szCs w:val="24"/>
          <w:highlight w:val="lightGray"/>
        </w:rPr>
        <w:t>DATUM</w:t>
      </w:r>
      <w:r>
        <w:rPr>
          <w:rFonts w:ascii="Times New Roman" w:hAnsi="Times New Roman"/>
          <w:b/>
          <w:sz w:val="24"/>
          <w:szCs w:val="24"/>
        </w:rPr>
        <w:t>] 20[</w:t>
      </w:r>
      <w:r w:rsidRPr="00D830F3">
        <w:rPr>
          <w:rFonts w:ascii="Times New Roman" w:hAnsi="Times New Roman"/>
          <w:b/>
          <w:sz w:val="24"/>
          <w:szCs w:val="24"/>
          <w:highlight w:val="lightGray"/>
        </w:rPr>
        <w:t>XX</w:t>
      </w:r>
      <w:r>
        <w:rPr>
          <w:rFonts w:ascii="Times New Roman" w:hAnsi="Times New Roman"/>
          <w:b/>
          <w:sz w:val="24"/>
          <w:szCs w:val="24"/>
        </w:rPr>
        <w:t>].</w:t>
      </w:r>
    </w:p>
    <w:p w:rsidR="00CF6D72" w:rsidRDefault="00CF6D72" w:rsidP="00CF6D72">
      <w:pPr>
        <w:spacing w:after="0" w:line="240" w:lineRule="auto"/>
        <w:jc w:val="both"/>
        <w:rPr>
          <w:rFonts w:ascii="Times New Roman" w:hAnsi="Times New Roman"/>
          <w:b/>
          <w:sz w:val="24"/>
          <w:szCs w:val="24"/>
        </w:rPr>
      </w:pPr>
    </w:p>
    <w:p w:rsidR="00E90EC5" w:rsidRDefault="00E90EC5" w:rsidP="00E90EC5">
      <w:pPr>
        <w:spacing w:after="0" w:line="240" w:lineRule="auto"/>
        <w:jc w:val="both"/>
        <w:rPr>
          <w:rFonts w:ascii="Times New Roman" w:hAnsi="Times New Roman"/>
          <w:sz w:val="24"/>
        </w:rPr>
      </w:pPr>
      <w:r>
        <w:rPr>
          <w:rFonts w:ascii="Times New Roman" w:hAnsi="Times New Roman"/>
          <w:sz w:val="24"/>
        </w:rPr>
        <w:t>Im Rahmen der gesetzlich vorgeschriebenen Kontrolle des Jahresabschlusses der [</w:t>
      </w:r>
      <w:r>
        <w:rPr>
          <w:rFonts w:ascii="Times New Roman" w:hAnsi="Times New Roman"/>
          <w:caps/>
          <w:sz w:val="24"/>
          <w:highlight w:val="lightGray"/>
        </w:rPr>
        <w:t>FIRMA</w:t>
      </w:r>
      <w:r w:rsidRPr="00D830F3">
        <w:rPr>
          <w:rFonts w:ascii="Times New Roman" w:hAnsi="Times New Roman"/>
          <w:sz w:val="24"/>
          <w:highlight w:val="lightGray"/>
        </w:rPr>
        <w:t xml:space="preserve"> + </w:t>
      </w:r>
      <w:r w:rsidRPr="00D830F3">
        <w:rPr>
          <w:rFonts w:ascii="Times New Roman" w:hAnsi="Times New Roman"/>
          <w:caps/>
          <w:sz w:val="24"/>
          <w:highlight w:val="lightGray"/>
        </w:rPr>
        <w:t>Gesellschaftsform</w:t>
      </w:r>
      <w:r>
        <w:rPr>
          <w:rFonts w:ascii="Times New Roman" w:hAnsi="Times New Roman"/>
          <w:sz w:val="24"/>
        </w:rPr>
        <w:t xml:space="preserve">] </w:t>
      </w:r>
      <w:r>
        <w:rPr>
          <w:rFonts w:ascii="Times New Roman" w:hAnsi="Times New Roman"/>
          <w:sz w:val="24"/>
          <w:szCs w:val="24"/>
        </w:rPr>
        <w:t>(die „Gesellschaft“)</w:t>
      </w:r>
      <w:r>
        <w:rPr>
          <w:rFonts w:ascii="Times New Roman" w:hAnsi="Times New Roman"/>
          <w:sz w:val="24"/>
        </w:rPr>
        <w:t xml:space="preserve"> legen wir Ihnen unseren Bericht des Kommissars vor. Er enthält unseren Bericht des Kommissarssowie unseren Bericht über die sonstigen gesetzlichen und </w:t>
      </w:r>
      <w:r w:rsidRPr="00D830F3">
        <w:rPr>
          <w:lang w:val="nl-BE"/>
        </w:rPr>
        <w:t>andere</w:t>
      </w:r>
      <w:r>
        <w:rPr>
          <w:lang w:val="nl-BE"/>
        </w:rPr>
        <w:t>n</w:t>
      </w:r>
      <w:r w:rsidRPr="00D830F3">
        <w:rPr>
          <w:lang w:val="nl-BE"/>
        </w:rPr>
        <w:t xml:space="preserve"> rechtlichen</w:t>
      </w:r>
      <w:r w:rsidDel="001779FB">
        <w:rPr>
          <w:rFonts w:ascii="Times New Roman" w:hAnsi="Times New Roman"/>
          <w:sz w:val="24"/>
        </w:rPr>
        <w:t xml:space="preserve"> </w:t>
      </w:r>
      <w:r>
        <w:rPr>
          <w:rFonts w:ascii="Times New Roman" w:hAnsi="Times New Roman"/>
          <w:sz w:val="24"/>
        </w:rPr>
        <w:t>Bestimmungen. Diese Berichte stellen ein untrennbares Ganzes dar.</w:t>
      </w:r>
    </w:p>
    <w:p w:rsidR="00E90EC5" w:rsidRPr="007E0CBB" w:rsidRDefault="00E90EC5" w:rsidP="00E90EC5">
      <w:pPr>
        <w:spacing w:after="0" w:line="240" w:lineRule="auto"/>
        <w:jc w:val="both"/>
        <w:rPr>
          <w:rFonts w:ascii="Times New Roman" w:hAnsi="Times New Roman"/>
          <w:sz w:val="24"/>
        </w:rPr>
      </w:pPr>
    </w:p>
    <w:p w:rsidR="00E90EC5" w:rsidRPr="007E0CBB" w:rsidRDefault="00E90EC5" w:rsidP="00E90EC5">
      <w:pPr>
        <w:jc w:val="both"/>
        <w:rPr>
          <w:rFonts w:ascii="Times New Roman" w:hAnsi="Times New Roman"/>
          <w:sz w:val="24"/>
        </w:rPr>
      </w:pPr>
      <w:r>
        <w:rPr>
          <w:rFonts w:ascii="Times New Roman" w:hAnsi="Times New Roman"/>
          <w:sz w:val="24"/>
        </w:rPr>
        <w:t>Gemäß Vorschlag des geschäftsführenden Organs [</w:t>
      </w:r>
      <w:r>
        <w:rPr>
          <w:rFonts w:ascii="Times New Roman" w:hAnsi="Times New Roman"/>
          <w:sz w:val="24"/>
          <w:highlight w:val="lightGray"/>
        </w:rPr>
        <w:t>auf Vorlage des Betriebsrats</w:t>
      </w:r>
      <w:r w:rsidRPr="007E0CBB">
        <w:rPr>
          <w:rFonts w:ascii="Times New Roman" w:hAnsi="Times New Roman"/>
          <w:sz w:val="24"/>
          <w:highlight w:val="lightGray"/>
          <w:vertAlign w:val="superscript"/>
        </w:rPr>
        <w:footnoteReference w:id="2"/>
      </w:r>
      <w:r>
        <w:rPr>
          <w:rFonts w:ascii="Times New Roman" w:hAnsi="Times New Roman"/>
          <w:sz w:val="24"/>
        </w:rPr>
        <w:t xml:space="preserve">] wurden wir von der Generalversammlung am </w:t>
      </w:r>
      <w:r w:rsidRPr="00D830F3">
        <w:rPr>
          <w:rFonts w:ascii="Times New Roman" w:hAnsi="Times New Roman"/>
          <w:sz w:val="24"/>
          <w:szCs w:val="24"/>
        </w:rPr>
        <w:t>[</w:t>
      </w:r>
      <w:r w:rsidRPr="00D830F3">
        <w:rPr>
          <w:rFonts w:ascii="Times New Roman" w:hAnsi="Times New Roman"/>
          <w:sz w:val="24"/>
          <w:szCs w:val="24"/>
          <w:highlight w:val="lightGray"/>
        </w:rPr>
        <w:t>DATUM</w:t>
      </w:r>
      <w:r w:rsidRPr="00D830F3">
        <w:rPr>
          <w:rFonts w:ascii="Times New Roman" w:hAnsi="Times New Roman"/>
          <w:sz w:val="24"/>
          <w:szCs w:val="24"/>
        </w:rPr>
        <w:t>] 20[</w:t>
      </w:r>
      <w:r w:rsidRPr="00D830F3">
        <w:rPr>
          <w:rFonts w:ascii="Times New Roman" w:hAnsi="Times New Roman"/>
          <w:sz w:val="24"/>
          <w:szCs w:val="24"/>
          <w:highlight w:val="lightGray"/>
        </w:rPr>
        <w:t>XX</w:t>
      </w:r>
      <w:r w:rsidRPr="00D830F3">
        <w:rPr>
          <w:rFonts w:ascii="Times New Roman" w:hAnsi="Times New Roman"/>
          <w:sz w:val="24"/>
          <w:szCs w:val="24"/>
        </w:rPr>
        <w:t>]</w:t>
      </w:r>
      <w:r>
        <w:rPr>
          <w:rFonts w:ascii="Times New Roman" w:hAnsi="Times New Roman"/>
          <w:sz w:val="24"/>
        </w:rPr>
        <w:t xml:space="preserve"> zum Kommissar ernannt. Unser Mandat als Kommissar endet mit dem Datum der Generalversammlung, die den Jahresabschluss des am </w:t>
      </w:r>
      <w:r w:rsidRPr="00D830F3">
        <w:rPr>
          <w:rFonts w:ascii="Times New Roman" w:hAnsi="Times New Roman"/>
          <w:sz w:val="24"/>
          <w:szCs w:val="24"/>
        </w:rPr>
        <w:t>[</w:t>
      </w:r>
      <w:r w:rsidRPr="00D830F3">
        <w:rPr>
          <w:rFonts w:ascii="Times New Roman" w:hAnsi="Times New Roman"/>
          <w:sz w:val="24"/>
          <w:szCs w:val="24"/>
          <w:highlight w:val="lightGray"/>
        </w:rPr>
        <w:t>DATUM</w:t>
      </w:r>
      <w:r w:rsidRPr="00D830F3">
        <w:rPr>
          <w:rFonts w:ascii="Times New Roman" w:hAnsi="Times New Roman"/>
          <w:sz w:val="24"/>
          <w:szCs w:val="24"/>
        </w:rPr>
        <w:t>] 20[</w:t>
      </w:r>
      <w:r w:rsidRPr="00D830F3">
        <w:rPr>
          <w:rFonts w:ascii="Times New Roman" w:hAnsi="Times New Roman"/>
          <w:sz w:val="24"/>
          <w:szCs w:val="24"/>
          <w:highlight w:val="lightGray"/>
        </w:rPr>
        <w:t>XX</w:t>
      </w:r>
      <w:r w:rsidRPr="00D830F3">
        <w:rPr>
          <w:rFonts w:ascii="Times New Roman" w:hAnsi="Times New Roman"/>
          <w:sz w:val="24"/>
          <w:szCs w:val="24"/>
        </w:rPr>
        <w:t>]</w:t>
      </w:r>
      <w:r>
        <w:rPr>
          <w:rFonts w:ascii="Times New Roman" w:hAnsi="Times New Roman"/>
          <w:sz w:val="24"/>
        </w:rPr>
        <w:t xml:space="preserve"> abgeschlossenen Geschäftsjahres erörtert. Wir haben die gesetzlich vorgeschriebene Kontrolle des Jahresabschlusses der </w:t>
      </w:r>
      <w:r w:rsidRPr="00D830F3">
        <w:rPr>
          <w:rFonts w:ascii="Times New Roman" w:hAnsi="Times New Roman"/>
          <w:sz w:val="24"/>
          <w:szCs w:val="24"/>
        </w:rPr>
        <w:t>[</w:t>
      </w:r>
      <w:r>
        <w:rPr>
          <w:rFonts w:ascii="Times New Roman" w:hAnsi="Times New Roman"/>
          <w:sz w:val="24"/>
          <w:szCs w:val="24"/>
          <w:highlight w:val="lightGray"/>
        </w:rPr>
        <w:t>FIRMA</w:t>
      </w:r>
      <w:r w:rsidRPr="00D830F3">
        <w:rPr>
          <w:rFonts w:ascii="Times New Roman" w:hAnsi="Times New Roman"/>
          <w:sz w:val="24"/>
          <w:szCs w:val="24"/>
          <w:highlight w:val="lightGray"/>
        </w:rPr>
        <w:t xml:space="preserve"> + GESELLSCHAFTSFORM] (siehe Satzung)</w:t>
      </w:r>
      <w:r w:rsidRPr="00D830F3">
        <w:rPr>
          <w:rFonts w:ascii="Times New Roman" w:hAnsi="Times New Roman"/>
          <w:sz w:val="24"/>
          <w:szCs w:val="24"/>
        </w:rPr>
        <w:t xml:space="preserve"> </w:t>
      </w:r>
      <w:r w:rsidRPr="00934B00">
        <w:rPr>
          <w:rFonts w:ascii="Times New Roman" w:hAnsi="Times New Roman"/>
          <w:sz w:val="24"/>
        </w:rPr>
        <w:t>über [</w:t>
      </w:r>
      <w:r w:rsidRPr="00934B00">
        <w:rPr>
          <w:rFonts w:ascii="Times New Roman" w:hAnsi="Times New Roman"/>
          <w:sz w:val="24"/>
          <w:highlight w:val="lightGray"/>
        </w:rPr>
        <w:t>xx</w:t>
      </w:r>
      <w:r w:rsidRPr="00934B00">
        <w:rPr>
          <w:rFonts w:ascii="Times New Roman" w:hAnsi="Times New Roman"/>
          <w:sz w:val="24"/>
        </w:rPr>
        <w:t>] aufeinander</w:t>
      </w:r>
      <w:r>
        <w:rPr>
          <w:rFonts w:ascii="Times New Roman" w:hAnsi="Times New Roman"/>
          <w:sz w:val="24"/>
        </w:rPr>
        <w:t>folgende Geschäftsjahre durchgeführt.</w:t>
      </w:r>
      <w:r w:rsidRPr="007E0CBB">
        <w:rPr>
          <w:rFonts w:ascii="Times New Roman" w:hAnsi="Times New Roman"/>
          <w:sz w:val="24"/>
          <w:highlight w:val="lightGray"/>
          <w:vertAlign w:val="superscript"/>
        </w:rPr>
        <w:footnoteReference w:id="3"/>
      </w:r>
      <w:r>
        <w:rPr>
          <w:rFonts w:ascii="Times New Roman" w:hAnsi="Times New Roman"/>
          <w:sz w:val="24"/>
        </w:rPr>
        <w:t xml:space="preserve"> </w:t>
      </w:r>
    </w:p>
    <w:p w:rsidR="00E90EC5" w:rsidRDefault="00E90EC5" w:rsidP="00E90EC5">
      <w:pPr>
        <w:spacing w:after="0" w:line="240" w:lineRule="auto"/>
        <w:jc w:val="both"/>
        <w:rPr>
          <w:rFonts w:ascii="Times New Roman" w:hAnsi="Times New Roman"/>
          <w:sz w:val="24"/>
          <w:szCs w:val="24"/>
        </w:rPr>
      </w:pPr>
    </w:p>
    <w:p w:rsidR="00E90EC5" w:rsidRPr="00E90EC5" w:rsidRDefault="00E90EC5" w:rsidP="00E90EC5">
      <w:pPr>
        <w:pStyle w:val="Kop2"/>
        <w:rPr>
          <w:lang w:val="en-US"/>
        </w:rPr>
      </w:pPr>
      <w:bookmarkStart w:id="5" w:name="_Toc501021529"/>
      <w:bookmarkStart w:id="6" w:name="_Toc505264877"/>
      <w:r w:rsidRPr="00E90EC5">
        <w:rPr>
          <w:lang w:val="en-US"/>
        </w:rPr>
        <w:t>Bericht über die Prüfung des Jahresabschluss</w:t>
      </w:r>
      <w:bookmarkEnd w:id="5"/>
      <w:bookmarkEnd w:id="6"/>
      <w:r w:rsidRPr="00E90EC5">
        <w:rPr>
          <w:lang w:val="en-US"/>
        </w:rPr>
        <w:t xml:space="preserve">es </w:t>
      </w:r>
    </w:p>
    <w:p w:rsidR="00E90EC5" w:rsidRPr="007E0CBB" w:rsidRDefault="00E90EC5" w:rsidP="00E90EC5">
      <w:pPr>
        <w:spacing w:after="0"/>
        <w:rPr>
          <w:rFonts w:ascii="Times New Roman" w:hAnsi="Times New Roman"/>
          <w:b/>
          <w:bCs/>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7" w:name="_Toc501021530"/>
      <w:bookmarkStart w:id="8" w:name="_Toc505264878"/>
      <w:r>
        <w:rPr>
          <w:rFonts w:asciiTheme="majorHAnsi" w:hAnsiTheme="majorHAnsi"/>
          <w:b/>
          <w:i/>
          <w:color w:val="365F91" w:themeColor="accent1" w:themeShade="BF"/>
          <w:sz w:val="24"/>
          <w:szCs w:val="24"/>
        </w:rPr>
        <w:t>Uneingeschränkter Bestätigungsvermerk</w:t>
      </w:r>
      <w:bookmarkEnd w:id="7"/>
      <w:bookmarkEnd w:id="8"/>
    </w:p>
    <w:p w:rsidR="00E90EC5" w:rsidRPr="00615B30" w:rsidRDefault="00E90EC5" w:rsidP="00E90EC5">
      <w:pPr>
        <w:spacing w:after="0" w:line="240" w:lineRule="auto"/>
        <w:jc w:val="both"/>
        <w:rPr>
          <w:rFonts w:ascii="Times New Roman" w:hAnsi="Times New Roman"/>
          <w:b/>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 xml:space="preserve">Wir haben den Jahresabschluss der Gesellschaft gemäß den in </w:t>
      </w:r>
      <w:r w:rsidRPr="007123E1">
        <w:rPr>
          <w:rFonts w:ascii="Times New Roman" w:hAnsi="Times New Roman"/>
          <w:sz w:val="24"/>
          <w:szCs w:val="24"/>
        </w:rPr>
        <w:t>Belgien anwendbaren buchhalterischen Vorschriften</w:t>
      </w:r>
      <w:r w:rsidRPr="00D830F3">
        <w:rPr>
          <w:rFonts w:ascii="Times New Roman" w:hAnsi="Times New Roman"/>
          <w:sz w:val="24"/>
          <w:szCs w:val="24"/>
        </w:rPr>
        <w:t xml:space="preserve"> </w:t>
      </w:r>
      <w:r w:rsidRPr="007123E1">
        <w:rPr>
          <w:rFonts w:ascii="Times New Roman" w:hAnsi="Times New Roman"/>
          <w:sz w:val="24"/>
          <w:szCs w:val="24"/>
        </w:rPr>
        <w:t>vorgenommen</w:t>
      </w:r>
      <w:r>
        <w:rPr>
          <w:rFonts w:ascii="Times New Roman" w:hAnsi="Times New Roman"/>
          <w:sz w:val="24"/>
          <w:szCs w:val="24"/>
        </w:rPr>
        <w:t>. D</w:t>
      </w:r>
      <w:r w:rsidRPr="007123E1">
        <w:rPr>
          <w:rFonts w:ascii="Times New Roman" w:hAnsi="Times New Roman"/>
          <w:sz w:val="24"/>
          <w:szCs w:val="24"/>
        </w:rPr>
        <w:t>ieser</w:t>
      </w:r>
      <w:r>
        <w:rPr>
          <w:rFonts w:ascii="Times New Roman" w:hAnsi="Times New Roman"/>
          <w:sz w:val="24"/>
          <w:szCs w:val="24"/>
        </w:rPr>
        <w:t xml:space="preserve"> Jahresabschluss umfasst die Bilanz am </w:t>
      </w:r>
      <w:r w:rsidRPr="00D038E9">
        <w:rPr>
          <w:rFonts w:ascii="Times New Roman" w:hAnsi="Times New Roman"/>
          <w:sz w:val="24"/>
          <w:szCs w:val="24"/>
        </w:rPr>
        <w:t>[</w:t>
      </w:r>
      <w:r w:rsidRPr="00D038E9">
        <w:rPr>
          <w:rFonts w:ascii="Times New Roman" w:hAnsi="Times New Roman"/>
          <w:sz w:val="24"/>
          <w:szCs w:val="24"/>
          <w:highlight w:val="lightGray"/>
        </w:rPr>
        <w:t>DATUM</w:t>
      </w:r>
      <w:r w:rsidRPr="00D038E9">
        <w:rPr>
          <w:rFonts w:ascii="Times New Roman" w:hAnsi="Times New Roman"/>
          <w:sz w:val="24"/>
          <w:szCs w:val="24"/>
        </w:rPr>
        <w:t>] 20[</w:t>
      </w:r>
      <w:r w:rsidRPr="00D038E9">
        <w:rPr>
          <w:rFonts w:ascii="Times New Roman" w:hAnsi="Times New Roman"/>
          <w:sz w:val="24"/>
          <w:szCs w:val="24"/>
          <w:highlight w:val="lightGray"/>
        </w:rPr>
        <w:t>XX</w:t>
      </w:r>
      <w:r w:rsidRPr="00D038E9">
        <w:rPr>
          <w:rFonts w:ascii="Times New Roman" w:hAnsi="Times New Roman"/>
          <w:sz w:val="24"/>
          <w:szCs w:val="24"/>
        </w:rPr>
        <w:t xml:space="preserve">] </w:t>
      </w:r>
      <w:r>
        <w:rPr>
          <w:rFonts w:ascii="Times New Roman" w:hAnsi="Times New Roman"/>
          <w:sz w:val="24"/>
          <w:szCs w:val="24"/>
        </w:rPr>
        <w:t xml:space="preserve">sowie die Ergebnisrechnung für </w:t>
      </w:r>
      <w:r w:rsidRPr="00D830F3">
        <w:rPr>
          <w:rFonts w:ascii="Times New Roman" w:hAnsi="Times New Roman"/>
          <w:sz w:val="24"/>
          <w:szCs w:val="24"/>
          <w:highlight w:val="lightGray"/>
        </w:rPr>
        <w:t>das zu diesem Datum endende Geschäftsjahr</w:t>
      </w:r>
      <w:r>
        <w:rPr>
          <w:rFonts w:ascii="Times New Roman" w:hAnsi="Times New Roman"/>
          <w:sz w:val="24"/>
          <w:szCs w:val="24"/>
        </w:rPr>
        <w:t xml:space="preserve">und den Anhang  </w:t>
      </w:r>
      <w:r>
        <w:rPr>
          <w:rFonts w:ascii="Times New Roman" w:hAnsi="Times New Roman"/>
          <w:bCs/>
          <w:sz w:val="24"/>
          <w:szCs w:val="24"/>
        </w:rPr>
        <w:t xml:space="preserve"> </w:t>
      </w:r>
      <w:r>
        <w:rPr>
          <w:rFonts w:ascii="Times New Roman" w:hAnsi="Times New Roman"/>
          <w:sz w:val="24"/>
          <w:szCs w:val="24"/>
        </w:rPr>
        <w:t>und weist eine Bilanzsumme von € </w:t>
      </w:r>
      <w:r>
        <w:rPr>
          <w:rFonts w:ascii="Times New Roman" w:hAnsi="Times New Roman"/>
          <w:sz w:val="24"/>
          <w:szCs w:val="24"/>
          <w:highlight w:val="lightGray"/>
        </w:rPr>
        <w:t>__________</w:t>
      </w:r>
      <w:r>
        <w:rPr>
          <w:rFonts w:ascii="Times New Roman" w:hAnsi="Times New Roman"/>
          <w:sz w:val="24"/>
          <w:szCs w:val="24"/>
        </w:rPr>
        <w:t xml:space="preserve"> sowie eine Ergebnisrechnung mit einem </w:t>
      </w:r>
      <w:r w:rsidRPr="00B92A5D">
        <w:rPr>
          <w:rFonts w:ascii="Times New Roman" w:hAnsi="Times New Roman"/>
          <w:sz w:val="24"/>
          <w:szCs w:val="24"/>
        </w:rPr>
        <w:t>Jahresüberschuss</w:t>
      </w:r>
      <w:r>
        <w:rPr>
          <w:rFonts w:ascii="Times New Roman" w:hAnsi="Times New Roman"/>
          <w:sz w:val="24"/>
          <w:szCs w:val="24"/>
        </w:rPr>
        <w:t xml:space="preserve"> [</w:t>
      </w:r>
      <w:r>
        <w:rPr>
          <w:rFonts w:ascii="Times New Roman" w:hAnsi="Times New Roman"/>
          <w:sz w:val="24"/>
          <w:szCs w:val="24"/>
          <w:highlight w:val="lightGray"/>
        </w:rPr>
        <w:t>Jahresfehlbetrag</w:t>
      </w:r>
      <w:r>
        <w:rPr>
          <w:rFonts w:ascii="Times New Roman" w:hAnsi="Times New Roman"/>
          <w:sz w:val="24"/>
          <w:szCs w:val="24"/>
        </w:rPr>
        <w:t xml:space="preserve">] im </w:t>
      </w:r>
      <w:r w:rsidRPr="00B92A5D">
        <w:rPr>
          <w:rFonts w:ascii="Times New Roman" w:hAnsi="Times New Roman"/>
          <w:sz w:val="24"/>
          <w:szCs w:val="24"/>
        </w:rPr>
        <w:t>Geschäftsjahr</w:t>
      </w:r>
      <w:r>
        <w:rPr>
          <w:rFonts w:ascii="Times New Roman" w:hAnsi="Times New Roman"/>
          <w:sz w:val="24"/>
          <w:szCs w:val="24"/>
        </w:rPr>
        <w:t xml:space="preserve"> von € </w:t>
      </w:r>
      <w:r>
        <w:rPr>
          <w:rFonts w:ascii="Times New Roman" w:hAnsi="Times New Roman"/>
          <w:sz w:val="24"/>
          <w:szCs w:val="24"/>
          <w:highlight w:val="lightGray"/>
        </w:rPr>
        <w:t>__________</w:t>
      </w:r>
      <w:r>
        <w:rPr>
          <w:rFonts w:ascii="Times New Roman" w:hAnsi="Times New Roman"/>
          <w:sz w:val="24"/>
          <w:szCs w:val="24"/>
        </w:rPr>
        <w:t xml:space="preserve"> aus.</w:t>
      </w:r>
    </w:p>
    <w:p w:rsidR="00E90EC5" w:rsidRPr="007E0CBB" w:rsidRDefault="00E90EC5" w:rsidP="00E90EC5">
      <w:pPr>
        <w:spacing w:after="0"/>
        <w:rPr>
          <w:rFonts w:ascii="Times New Roman" w:hAnsi="Times New Roman"/>
          <w:bCs/>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 xml:space="preserve">Wir sind zu der Einschätzung gelangt, dass der Jahresabschluss in Übereinstimmung mit den in Belgien anwendbaren buchhalterischen Vorschriften ein getreues Bild der Vermögens- und Finanzlage der Gesellschaft am </w:t>
      </w:r>
      <w:r w:rsidRPr="00D038E9">
        <w:rPr>
          <w:rFonts w:ascii="Times New Roman" w:hAnsi="Times New Roman"/>
          <w:sz w:val="24"/>
          <w:szCs w:val="24"/>
        </w:rPr>
        <w:t>[</w:t>
      </w:r>
      <w:r w:rsidRPr="00D038E9">
        <w:rPr>
          <w:rFonts w:ascii="Times New Roman" w:hAnsi="Times New Roman"/>
          <w:sz w:val="24"/>
          <w:szCs w:val="24"/>
          <w:highlight w:val="lightGray"/>
        </w:rPr>
        <w:t>DATUM</w:t>
      </w:r>
      <w:r w:rsidRPr="00D038E9">
        <w:rPr>
          <w:rFonts w:ascii="Times New Roman" w:hAnsi="Times New Roman"/>
          <w:sz w:val="24"/>
          <w:szCs w:val="24"/>
        </w:rPr>
        <w:t>] 20[</w:t>
      </w:r>
      <w:r w:rsidRPr="00D038E9">
        <w:rPr>
          <w:rFonts w:ascii="Times New Roman" w:hAnsi="Times New Roman"/>
          <w:sz w:val="24"/>
          <w:szCs w:val="24"/>
          <w:highlight w:val="lightGray"/>
        </w:rPr>
        <w:t>XX</w:t>
      </w:r>
      <w:r w:rsidRPr="00D038E9">
        <w:rPr>
          <w:rFonts w:ascii="Times New Roman" w:hAnsi="Times New Roman"/>
          <w:sz w:val="24"/>
          <w:szCs w:val="24"/>
        </w:rPr>
        <w:t xml:space="preserve">] </w:t>
      </w:r>
      <w:r>
        <w:rPr>
          <w:rFonts w:ascii="Times New Roman" w:hAnsi="Times New Roman"/>
          <w:sz w:val="24"/>
          <w:szCs w:val="24"/>
        </w:rPr>
        <w:t xml:space="preserve">sowie deren Ergebnisse für </w:t>
      </w:r>
      <w:r w:rsidRPr="00D830F3">
        <w:rPr>
          <w:rFonts w:ascii="Times New Roman" w:hAnsi="Times New Roman"/>
          <w:sz w:val="24"/>
          <w:szCs w:val="24"/>
          <w:highlight w:val="lightGray"/>
        </w:rPr>
        <w:t>das</w:t>
      </w:r>
      <w:r>
        <w:rPr>
          <w:rFonts w:ascii="Times New Roman" w:hAnsi="Times New Roman"/>
          <w:sz w:val="24"/>
          <w:szCs w:val="24"/>
        </w:rPr>
        <w:t xml:space="preserve"> zu diesem Datum </w:t>
      </w:r>
      <w:r w:rsidRPr="00D830F3">
        <w:rPr>
          <w:rFonts w:ascii="Times New Roman" w:hAnsi="Times New Roman"/>
          <w:sz w:val="24"/>
          <w:szCs w:val="24"/>
          <w:highlight w:val="lightGray"/>
        </w:rPr>
        <w:t>abgeschlossene</w:t>
      </w:r>
      <w:r>
        <w:rPr>
          <w:rFonts w:ascii="Times New Roman" w:hAnsi="Times New Roman"/>
          <w:sz w:val="24"/>
          <w:szCs w:val="24"/>
        </w:rPr>
        <w:t xml:space="preserve"> </w:t>
      </w:r>
      <w:r w:rsidRPr="00D830F3">
        <w:rPr>
          <w:rFonts w:ascii="Times New Roman" w:hAnsi="Times New Roman"/>
          <w:sz w:val="24"/>
          <w:szCs w:val="24"/>
          <w:highlight w:val="lightGray"/>
        </w:rPr>
        <w:t>Geschäftsjahr</w:t>
      </w:r>
      <w:r>
        <w:rPr>
          <w:rFonts w:ascii="Times New Roman" w:hAnsi="Times New Roman"/>
          <w:sz w:val="24"/>
          <w:szCs w:val="24"/>
        </w:rPr>
        <w:t xml:space="preserve"> vermittelt.</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9" w:name="_Toc501021531"/>
      <w:bookmarkStart w:id="10" w:name="_Toc505264879"/>
      <w:r>
        <w:rPr>
          <w:rFonts w:asciiTheme="majorHAnsi" w:hAnsiTheme="majorHAnsi"/>
          <w:b/>
          <w:i/>
          <w:color w:val="365F91" w:themeColor="accent1" w:themeShade="BF"/>
          <w:sz w:val="24"/>
          <w:szCs w:val="24"/>
        </w:rPr>
        <w:t>Grundlage für den uneingeschränkten Bestätigungsvermerk</w:t>
      </w:r>
      <w:bookmarkEnd w:id="9"/>
      <w:bookmarkEnd w:id="10"/>
      <w:r>
        <w:rPr>
          <w:rFonts w:asciiTheme="majorHAnsi" w:hAnsiTheme="majorHAnsi"/>
          <w:b/>
          <w:i/>
          <w:color w:val="365F91" w:themeColor="accent1" w:themeShade="BF"/>
          <w:sz w:val="24"/>
          <w:szCs w:val="24"/>
        </w:rPr>
        <w:t xml:space="preserve"> </w:t>
      </w:r>
    </w:p>
    <w:p w:rsidR="00E90EC5" w:rsidRPr="007E0CBB" w:rsidRDefault="00E90EC5" w:rsidP="00E90EC5">
      <w:pPr>
        <w:spacing w:after="0"/>
        <w:rPr>
          <w:rFonts w:ascii="Times New Roman" w:hAnsi="Times New Roman"/>
          <w:sz w:val="24"/>
          <w:szCs w:val="24"/>
        </w:rPr>
      </w:pPr>
      <w:bookmarkStart w:id="11" w:name="_Hlk500233933"/>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Wir haben unsere Abschlussprüfung in Übereinstimmung mit den Internationalen Prüfungs</w:t>
      </w:r>
      <w:r>
        <w:rPr>
          <w:rFonts w:ascii="Times New Roman" w:hAnsi="Times New Roman"/>
          <w:sz w:val="24"/>
          <w:szCs w:val="24"/>
        </w:rPr>
        <w:softHyphen/>
        <w:t xml:space="preserve">standards (ISA), </w:t>
      </w:r>
      <w:r>
        <w:rPr>
          <w:rFonts w:ascii="Times New Roman" w:hAnsi="Times New Roman"/>
          <w:sz w:val="24"/>
          <w:szCs w:val="24"/>
          <w:highlight w:val="lightGray"/>
        </w:rPr>
        <w:t>[so wie sie in Belgien verabschiedet wurden]</w:t>
      </w:r>
      <w:r>
        <w:rPr>
          <w:rFonts w:ascii="Times New Roman" w:hAnsi="Times New Roman"/>
          <w:sz w:val="24"/>
          <w:szCs w:val="24"/>
        </w:rPr>
        <w:t xml:space="preserve">, durchgeführt. </w:t>
      </w:r>
      <w:bookmarkEnd w:id="11"/>
      <w:r>
        <w:rPr>
          <w:rFonts w:ascii="Times New Roman" w:hAnsi="Times New Roman"/>
          <w:sz w:val="24"/>
          <w:szCs w:val="24"/>
        </w:rPr>
        <w:t xml:space="preserve">Unsere Verantwortung gemäß diesen Normen wird im Abschnitt „Verantwortung des Kommissars für den Jahresabschluss“ in diesem Bericht genauer beschrieben. Wir haben die beruflichen Verhaltensanforderungen eingehalten, die für die Rechnungsprüfung des Jahresabschlusses in Belgien gelten, einschließlich der Anforderungen an die Unabhängigkeit. </w:t>
      </w:r>
    </w:p>
    <w:p w:rsidR="00E90EC5" w:rsidRPr="007E0CBB" w:rsidRDefault="00E90EC5" w:rsidP="00E90EC5">
      <w:pPr>
        <w:spacing w:after="0"/>
        <w:jc w:val="both"/>
        <w:rPr>
          <w:rFonts w:ascii="Times New Roman" w:hAnsi="Times New Roman"/>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Vom geschäftsführenden Organ und den Beauftragten der Gesellschaft haben wir die für unsere Rechnungsprüfung erforderlichen Erläuterungen und Informationen erhalten.</w:t>
      </w:r>
    </w:p>
    <w:p w:rsidR="00E90EC5" w:rsidRPr="007E0CBB" w:rsidRDefault="00E90EC5" w:rsidP="00E90EC5">
      <w:pPr>
        <w:spacing w:after="0"/>
        <w:jc w:val="both"/>
        <w:rPr>
          <w:rFonts w:ascii="Times New Roman" w:hAnsi="Times New Roman"/>
          <w:sz w:val="24"/>
          <w:szCs w:val="24"/>
        </w:rPr>
      </w:pPr>
    </w:p>
    <w:p w:rsidR="00E90EC5" w:rsidRPr="007E0CBB" w:rsidRDefault="00E90EC5" w:rsidP="00E90EC5">
      <w:pPr>
        <w:spacing w:after="0"/>
        <w:jc w:val="both"/>
        <w:rPr>
          <w:rFonts w:ascii="Times New Roman" w:hAnsi="Times New Roman"/>
          <w:sz w:val="24"/>
          <w:szCs w:val="24"/>
        </w:rPr>
      </w:pPr>
      <w:r>
        <w:rPr>
          <w:rFonts w:ascii="Times New Roman" w:hAnsi="Times New Roman"/>
          <w:sz w:val="24"/>
          <w:szCs w:val="24"/>
        </w:rPr>
        <w:t>Wir sind der Auffassung, dass die von uns erlangten Prüfungsnachweise ausreichend und geeignet sind, um als Grundlage für unser Prüfungsurteil zu dienen.</w:t>
      </w:r>
    </w:p>
    <w:p w:rsidR="00E90EC5" w:rsidRPr="007E0CBB" w:rsidRDefault="00E90EC5" w:rsidP="00E90EC5">
      <w:pPr>
        <w:spacing w:after="0"/>
        <w:jc w:val="both"/>
        <w:rPr>
          <w:rFonts w:ascii="Times New Roman" w:hAnsi="Times New Roman"/>
          <w:spacing w:val="-4"/>
          <w:kern w:val="8"/>
          <w:sz w:val="24"/>
          <w:szCs w:val="24"/>
          <w:lang w:bidi="he-IL"/>
        </w:rPr>
      </w:pPr>
    </w:p>
    <w:p w:rsidR="00E90EC5" w:rsidRPr="003E788E" w:rsidRDefault="00E90EC5" w:rsidP="00E90EC5">
      <w:pPr>
        <w:spacing w:after="0" w:line="240" w:lineRule="auto"/>
        <w:jc w:val="both"/>
        <w:rPr>
          <w:rFonts w:ascii="Times New Roman" w:hAnsi="Times New Roman"/>
          <w:i/>
          <w:sz w:val="24"/>
          <w:szCs w:val="24"/>
        </w:rPr>
      </w:pPr>
    </w:p>
    <w:p w:rsidR="00E90EC5" w:rsidRPr="007A16F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r>
        <w:rPr>
          <w:rFonts w:asciiTheme="majorHAnsi" w:hAnsiTheme="majorHAnsi"/>
          <w:b/>
          <w:i/>
          <w:color w:val="365F91" w:themeColor="accent1" w:themeShade="BF"/>
          <w:sz w:val="24"/>
          <w:szCs w:val="24"/>
        </w:rPr>
        <w:t xml:space="preserve">Verantwortung des geschäftsführenden Organs für den Jahresabschluss </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Das geschäftsführende Organ ist verantwortlich für die Aufstellung und sachgerechte Gesamtdarstellung dieses Abschlusses in Übereinstimmung mit den in Belgien anwendbaren buchhalterischen Vorschriften und für die internen Kontrollen, die es als notwendig erachtet, um die Aufstellung eines Jahresabschlusses zu ermöglichen, der frei von wesentlichen – beabsichtigten oder unbeabsichtigten – falschen Darstellungen ist.</w:t>
      </w:r>
      <w:r>
        <w:t xml:space="preserve"> </w:t>
      </w:r>
    </w:p>
    <w:p w:rsidR="00E90EC5" w:rsidRPr="00615B30" w:rsidRDefault="00E90EC5" w:rsidP="00E90EC5">
      <w:pPr>
        <w:spacing w:after="0" w:line="240" w:lineRule="auto"/>
        <w:jc w:val="both"/>
        <w:rPr>
          <w:rFonts w:ascii="Times New Roman" w:hAnsi="Times New Roman"/>
          <w:sz w:val="24"/>
          <w:szCs w:val="24"/>
        </w:rPr>
      </w:pPr>
    </w:p>
    <w:p w:rsidR="00E90EC5" w:rsidRPr="007A16FB" w:rsidRDefault="00E90EC5" w:rsidP="00E90EC5">
      <w:pPr>
        <w:spacing w:after="0" w:line="240" w:lineRule="auto"/>
        <w:jc w:val="both"/>
        <w:rPr>
          <w:rFonts w:ascii="Times New Roman" w:hAnsi="Times New Roman"/>
          <w:sz w:val="24"/>
          <w:szCs w:val="24"/>
        </w:rPr>
      </w:pPr>
      <w:r>
        <w:rPr>
          <w:rFonts w:ascii="Times New Roman" w:hAnsi="Times New Roman"/>
          <w:sz w:val="24"/>
          <w:szCs w:val="24"/>
        </w:rPr>
        <w:t>Bei der Erstellung des Jahresabschlusses obliegt es dem geschäftsführenden Organ, die Fortführungs</w:t>
      </w:r>
      <w:r>
        <w:rPr>
          <w:rFonts w:ascii="Times New Roman" w:hAnsi="Times New Roman"/>
          <w:sz w:val="24"/>
          <w:szCs w:val="24"/>
        </w:rPr>
        <w:softHyphen/>
        <w:t xml:space="preserve">fähigkeit des Unternehmens zu bewerten, ggf. Informationen über die Fortführung der Unternehmenstätigkeit vorzulegen und den buchhalterischen Grundsatz der Fortführung der Unternehmenstätigkeit anzuwenden, es sei denn, das geschäftsführende Organ beabsichtigt die Liquidation des Unternehmens oder die Einstellung seiner Geschäftstätigkeit oder es ist nicht in der Lage, eine andere realistische Alternativlösung anzustreben. </w:t>
      </w:r>
    </w:p>
    <w:p w:rsidR="00E90EC5" w:rsidRDefault="00E90EC5" w:rsidP="00E90EC5">
      <w:pPr>
        <w:spacing w:after="0" w:line="240" w:lineRule="auto"/>
        <w:jc w:val="both"/>
        <w:rPr>
          <w:rFonts w:ascii="Times New Roman" w:hAnsi="Times New Roman"/>
          <w:i/>
          <w:sz w:val="24"/>
          <w:szCs w:val="24"/>
        </w:rPr>
      </w:pPr>
    </w:p>
    <w:p w:rsidR="00E90EC5" w:rsidRPr="0033198A"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r>
        <w:rPr>
          <w:rFonts w:asciiTheme="majorHAnsi" w:hAnsiTheme="majorHAnsi"/>
          <w:b/>
          <w:i/>
          <w:color w:val="365F91" w:themeColor="accent1" w:themeShade="BF"/>
          <w:sz w:val="24"/>
          <w:szCs w:val="24"/>
        </w:rPr>
        <w:t>Verantwortung des Kommissars für die Prüfung des Jahresabschlusses</w:t>
      </w:r>
    </w:p>
    <w:p w:rsidR="00E90EC5" w:rsidRPr="0033198A" w:rsidRDefault="00E90EC5" w:rsidP="00E90EC5">
      <w:pPr>
        <w:pStyle w:val="Default"/>
        <w:jc w:val="both"/>
      </w:pPr>
      <w:r>
        <w:t xml:space="preserve">Unser Ziel ist es, hinreichende Sicherheit darüber zu erlangen, dass der Jahresabschluss als Ganzes frei von wesentlichen – beabsichtigten oder unbeabsichtigten – falschen Darstellungen ist, und einen Bericht des Kommissars vorzulegen, der unsere Auffassung wiedergibt. Diese hinreichende Sicherheit entspricht einem hohen Maß an Zuverlässigkeitsgewähr, garantiert jedoch nicht, dass anhand einer gemäß den ISA-Standards durchgeführten Prüfung immer jede </w:t>
      </w:r>
      <w:r>
        <w:lastRenderedPageBreak/>
        <w:t>vorhandene wesentliche falsche Darstellung gefunden werden kann. Falsche Darstellungen können durch Betrug oder Fehler entstehen und werden als wesentlich erachtet, wenn vernünftigerweise davon auszugehen ist, dass sie einzeln oder in ihrer Gesamtheit die wirtschaftlichen Entscheidungen, die die Benutzer des Jahresabschlusses auf deren Grundlage treffen, beeinflussen können.</w:t>
      </w: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Im Rahmen einer Prüfung gemäß den ISA-Standards geben wir über deren gesamte Laufzeit unser fachmännisches Urteil ab und hinterfragen sie kritisch. Darüber hinaus:</w:t>
      </w:r>
    </w:p>
    <w:p w:rsidR="00E90EC5" w:rsidRPr="0033198A" w:rsidRDefault="00E90EC5" w:rsidP="00E90EC5">
      <w:pPr>
        <w:spacing w:after="0" w:line="240" w:lineRule="auto"/>
        <w:jc w:val="both"/>
        <w:rPr>
          <w:rFonts w:ascii="Times New Roman" w:hAnsi="Times New Roman"/>
          <w:sz w:val="24"/>
          <w:szCs w:val="24"/>
        </w:rPr>
      </w:pPr>
    </w:p>
    <w:p w:rsidR="00E90EC5" w:rsidRPr="0033198A" w:rsidRDefault="00E90EC5" w:rsidP="00E90EC5">
      <w:pPr>
        <w:numPr>
          <w:ilvl w:val="0"/>
          <w:numId w:val="2"/>
        </w:numPr>
        <w:spacing w:after="0" w:afterAutospacing="1" w:line="240" w:lineRule="auto"/>
        <w:ind w:left="426"/>
        <w:jc w:val="both"/>
        <w:rPr>
          <w:rFonts w:ascii="Times New Roman" w:hAnsi="Times New Roman"/>
          <w:sz w:val="24"/>
          <w:szCs w:val="24"/>
        </w:rPr>
      </w:pPr>
      <w:r>
        <w:rPr>
          <w:rFonts w:ascii="Times New Roman" w:hAnsi="Times New Roman"/>
          <w:sz w:val="24"/>
          <w:szCs w:val="24"/>
        </w:rPr>
        <w:t>identifizieren und bewerten wir das Risiko, dass der Jahresabschluss wesentliche – beabsichtigte oder unbeabsichtigte – falsche Darstellungen enthält, definieren wir die diesem Risiko angemessenen Prüfungshandlungen und setzen sie um und sammeln Prüfungsnachweise, die ausreichend und geeignet sind, um als Grundlage für unser Prüfungsurteil zu dienen. Das Risiko, eine auf Betrug zurückzuführende wesentliche falsche Darstellung nicht aufzudecken, ist höher als bei einer wesentlichen falschen Darstellung aufgrund eines Irrtums, denn der Betrug kann betrügerische Absprachen, Fälschungen, absichtliche Auslassungen, falsche Erklärungen oder Umgehung interner Kontrollen beinhalten;</w:t>
      </w:r>
    </w:p>
    <w:p w:rsidR="00E90EC5" w:rsidRPr="00F33C0C" w:rsidRDefault="00E90EC5" w:rsidP="00E90EC5">
      <w:pPr>
        <w:numPr>
          <w:ilvl w:val="0"/>
          <w:numId w:val="2"/>
        </w:numPr>
        <w:spacing w:after="0" w:afterAutospacing="1" w:line="240" w:lineRule="auto"/>
        <w:ind w:left="426"/>
        <w:jc w:val="both"/>
        <w:rPr>
          <w:rFonts w:ascii="Times New Roman" w:hAnsi="Times New Roman"/>
          <w:sz w:val="24"/>
        </w:rPr>
      </w:pPr>
      <w:r>
        <w:rPr>
          <w:rFonts w:ascii="Times New Roman" w:hAnsi="Times New Roman"/>
          <w:sz w:val="24"/>
        </w:rPr>
        <w:t>beziehen wir rechnungslegungsbezogene Kontrollmaßnahmen in die Prüfung ein, um die unter den jeweiligen Umständen geeigneten Prüfungshandlungen zu definieren, jedoch nicht mit dem Ziel, eine Stellungnahme zur Effizienz der internen Kontrollen der Gesellschaft abzugeben;</w:t>
      </w:r>
    </w:p>
    <w:p w:rsidR="00E90EC5" w:rsidRPr="00F33C0C" w:rsidRDefault="00E90EC5" w:rsidP="00E90EC5">
      <w:pPr>
        <w:numPr>
          <w:ilvl w:val="0"/>
          <w:numId w:val="2"/>
        </w:numPr>
        <w:spacing w:after="0" w:afterAutospacing="1" w:line="240" w:lineRule="auto"/>
        <w:ind w:left="426"/>
        <w:jc w:val="both"/>
        <w:rPr>
          <w:rFonts w:ascii="Times New Roman" w:hAnsi="Times New Roman"/>
          <w:sz w:val="24"/>
          <w:szCs w:val="24"/>
        </w:rPr>
      </w:pPr>
      <w:r>
        <w:rPr>
          <w:rFonts w:ascii="Times New Roman" w:hAnsi="Times New Roman"/>
          <w:sz w:val="24"/>
          <w:szCs w:val="24"/>
        </w:rPr>
        <w:t xml:space="preserve">schätzen wir ein, inwieweit die festgelegten Rechnungslegungsgrundsätze geeignet und die bilanziellen Schätzungen durch das geschäftsführende Organ angemessen sind, ebenso wie die von diesem hierzu erteilten Informationen; </w:t>
      </w:r>
    </w:p>
    <w:p w:rsidR="00E90EC5" w:rsidRPr="007E0CBB" w:rsidRDefault="00E90EC5" w:rsidP="00E90EC5">
      <w:pPr>
        <w:numPr>
          <w:ilvl w:val="0"/>
          <w:numId w:val="2"/>
        </w:numPr>
        <w:spacing w:after="0"/>
        <w:ind w:left="426"/>
        <w:jc w:val="both"/>
        <w:rPr>
          <w:rFonts w:ascii="Times New Roman" w:hAnsi="Times New Roman"/>
          <w:sz w:val="24"/>
          <w:szCs w:val="24"/>
        </w:rPr>
      </w:pPr>
      <w:r>
        <w:rPr>
          <w:rFonts w:ascii="Times New Roman" w:hAnsi="Times New Roman"/>
          <w:sz w:val="24"/>
          <w:szCs w:val="24"/>
        </w:rPr>
        <w:t>schlussfolgern wir, inwieweit das geschäftsführende Organ den buchhalterischen Grundsatz der Fortführung der Unternehmenstätigkeit angemessen anwendet und schließen gemäß den erhaltenen Prüfungsnachweisen auf eine evtl. vorhandene nennenswerte Unsicherheit in Bezug auf Ereignisse oder Situationen, die geeignet sind, erheblichen Zweifel an der Fortführungsfähigkeit des Unternehmens aufkommen zu lassen. Falls wir zu dem Schluss kommen, dass eine nennenswerte Unsicherheit vorliegt, sind wir verpflichtet, in unserem  Bericht des Kommissars auf die Informationen im Jahresabschluss aufmerksam zu machen, die sich auf diese Unsicherheit beziehen, oder, wenn diese Informationen nicht ausreichend sind, eine geänderte Stellungnahme abzugeben. Unsere Schlussfolgerungen stützen sich auf die bis zum Datum unseres Berichts des Kommissars erhaltenen Nachweise. Allerdings könnten künftige Situationen oder Ereignisse die Gesellschaft dazu bringen, ihren Betrieb einzustellen;</w:t>
      </w:r>
    </w:p>
    <w:p w:rsidR="00E90EC5" w:rsidRPr="007E0CBB" w:rsidRDefault="00E90EC5" w:rsidP="00E90EC5">
      <w:pPr>
        <w:numPr>
          <w:ilvl w:val="0"/>
          <w:numId w:val="2"/>
        </w:numPr>
        <w:spacing w:after="0"/>
        <w:ind w:left="426"/>
        <w:jc w:val="both"/>
        <w:rPr>
          <w:rFonts w:ascii="Times New Roman" w:hAnsi="Times New Roman"/>
          <w:sz w:val="24"/>
          <w:szCs w:val="24"/>
        </w:rPr>
      </w:pPr>
      <w:r>
        <w:rPr>
          <w:rFonts w:ascii="Times New Roman" w:hAnsi="Times New Roman"/>
          <w:sz w:val="24"/>
          <w:szCs w:val="24"/>
        </w:rPr>
        <w:t>bewerten wir die Gesamtdarstellung, die Struktur und den Inhalt des Jahresabschlusses und ermitteln, ob er die zugrunde liegenden Transaktionen und Ereignisse so darstellt, dass ein den tatsächlichen Verhältnissen entsprechendes Bild vermittelt wird.</w:t>
      </w:r>
    </w:p>
    <w:p w:rsidR="00E90EC5" w:rsidRPr="007E0CBB" w:rsidRDefault="00E90EC5" w:rsidP="00E90EC5">
      <w:pPr>
        <w:spacing w:after="0"/>
        <w:ind w:left="283"/>
        <w:jc w:val="both"/>
        <w:rPr>
          <w:rFonts w:ascii="Times New Roman" w:hAnsi="Times New Roman"/>
          <w:sz w:val="24"/>
          <w:szCs w:val="24"/>
        </w:rPr>
      </w:pPr>
    </w:p>
    <w:p w:rsidR="00E90EC5" w:rsidRDefault="00E90EC5" w:rsidP="00E90EC5">
      <w:pPr>
        <w:spacing w:after="0"/>
        <w:jc w:val="both"/>
        <w:rPr>
          <w:rFonts w:asciiTheme="majorHAnsi" w:hAnsiTheme="majorHAnsi"/>
          <w:b/>
          <w:bCs/>
          <w:color w:val="365F91" w:themeColor="accent1" w:themeShade="BF"/>
          <w:sz w:val="26"/>
          <w:szCs w:val="26"/>
        </w:rPr>
      </w:pPr>
      <w:r>
        <w:rPr>
          <w:rFonts w:ascii="Times New Roman" w:hAnsi="Times New Roman"/>
          <w:sz w:val="24"/>
          <w:szCs w:val="24"/>
        </w:rPr>
        <w:t xml:space="preserve">Unter anderem übermitteln wir dem geschäftsführenden Organ den Prüfungsumfang und die vorgesehene Zeitplanung sowie die bei unserer Rechnungsprüfung ermittelten wichtigen Feststellungen, einschließlich wesentlicher Schwachstellen bei der internen Kontrollen. </w:t>
      </w:r>
      <w:r>
        <w:rPr>
          <w:rFonts w:asciiTheme="majorHAnsi" w:hAnsiTheme="majorHAnsi"/>
          <w:b/>
          <w:bCs/>
          <w:color w:val="365F91" w:themeColor="accent1" w:themeShade="BF"/>
          <w:sz w:val="26"/>
          <w:szCs w:val="26"/>
        </w:rPr>
        <w:br w:type="page"/>
      </w:r>
    </w:p>
    <w:p w:rsidR="00E90EC5" w:rsidRPr="00F33C0C" w:rsidRDefault="00E90EC5" w:rsidP="00E90EC5">
      <w:pPr>
        <w:keepNext/>
        <w:keepLines/>
        <w:spacing w:before="200" w:after="0" w:line="360" w:lineRule="auto"/>
        <w:outlineLvl w:val="1"/>
        <w:rPr>
          <w:rFonts w:asciiTheme="majorHAnsi" w:eastAsiaTheme="majorEastAsia" w:hAnsiTheme="majorHAnsi" w:cstheme="majorBidi"/>
          <w:b/>
          <w:bCs/>
          <w:color w:val="365F91" w:themeColor="accent1" w:themeShade="BF"/>
          <w:sz w:val="26"/>
          <w:szCs w:val="26"/>
        </w:rPr>
      </w:pPr>
      <w:r>
        <w:rPr>
          <w:rFonts w:asciiTheme="majorHAnsi" w:hAnsiTheme="majorHAnsi"/>
          <w:b/>
          <w:bCs/>
          <w:color w:val="365F91" w:themeColor="accent1" w:themeShade="BF"/>
          <w:sz w:val="26"/>
          <w:szCs w:val="26"/>
        </w:rPr>
        <w:lastRenderedPageBreak/>
        <w:t>Bericht über sonstige gesetzliche und andere rechtliche Anforderungen</w:t>
      </w:r>
    </w:p>
    <w:p w:rsidR="00E90EC5" w:rsidRDefault="00E90EC5" w:rsidP="00E90EC5">
      <w:pPr>
        <w:spacing w:after="0" w:line="240" w:lineRule="auto"/>
        <w:jc w:val="both"/>
        <w:rPr>
          <w:rFonts w:ascii="Times New Roman" w:hAnsi="Times New Roman"/>
          <w:b/>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2" w:name="_Toc501021535"/>
      <w:bookmarkStart w:id="13" w:name="_Toc505264883"/>
      <w:r>
        <w:rPr>
          <w:rFonts w:asciiTheme="majorHAnsi" w:hAnsiTheme="majorHAnsi"/>
          <w:b/>
          <w:i/>
          <w:color w:val="365F91" w:themeColor="accent1" w:themeShade="BF"/>
          <w:sz w:val="24"/>
          <w:szCs w:val="24"/>
        </w:rPr>
        <w:t>Verantwortung des geschäftsführenden Organs</w:t>
      </w:r>
      <w:bookmarkEnd w:id="12"/>
      <w:bookmarkEnd w:id="13"/>
    </w:p>
    <w:p w:rsidR="00E90EC5" w:rsidRPr="00615B30" w:rsidRDefault="00E90EC5" w:rsidP="00E90EC5">
      <w:pPr>
        <w:spacing w:after="0" w:line="240" w:lineRule="auto"/>
        <w:jc w:val="both"/>
        <w:rPr>
          <w:rFonts w:ascii="Times New Roman" w:hAnsi="Times New Roman"/>
          <w:b/>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Das geschäftsführende Organ ist verantwortlich für die Erstellung und den Inhalt </w:t>
      </w:r>
      <w:r w:rsidRPr="00D830F3">
        <w:rPr>
          <w:rFonts w:ascii="Times New Roman" w:hAnsi="Times New Roman"/>
          <w:sz w:val="24"/>
          <w:szCs w:val="24"/>
          <w:highlight w:val="lightGray"/>
        </w:rPr>
        <w:t>des Lageberichts</w:t>
      </w:r>
      <w:r>
        <w:rPr>
          <w:rFonts w:ascii="Times New Roman" w:hAnsi="Times New Roman"/>
          <w:sz w:val="24"/>
          <w:szCs w:val="24"/>
        </w:rPr>
        <w:t xml:space="preserve"> [</w:t>
      </w:r>
      <w:r>
        <w:rPr>
          <w:rFonts w:ascii="Times New Roman" w:hAnsi="Times New Roman"/>
          <w:sz w:val="24"/>
          <w:szCs w:val="24"/>
          <w:highlight w:val="lightGray"/>
        </w:rPr>
        <w:t>und die sonstigen im Jahresbericht enthaltenen Informationen</w:t>
      </w:r>
      <w:r>
        <w:rPr>
          <w:rFonts w:ascii="Times New Roman" w:hAnsi="Times New Roman"/>
          <w:sz w:val="24"/>
          <w:szCs w:val="24"/>
        </w:rPr>
        <w:t>], [</w:t>
      </w:r>
      <w:r>
        <w:rPr>
          <w:rFonts w:ascii="Times New Roman" w:hAnsi="Times New Roman"/>
          <w:sz w:val="24"/>
          <w:szCs w:val="24"/>
          <w:highlight w:val="lightGray"/>
        </w:rPr>
        <w:t>die gemäß den gesetzlichen und anderen rechtlichen Bestimmungen einzureichenden Unterlagen,</w:t>
      </w:r>
      <w:r>
        <w:rPr>
          <w:rFonts w:ascii="Times New Roman" w:hAnsi="Times New Roman"/>
          <w:sz w:val="24"/>
          <w:szCs w:val="24"/>
        </w:rPr>
        <w:t xml:space="preserve">] die Einhaltung der gesetzlichen und anderen rechtlichen Bestimmungen bezüglich der Buchführung sowie für die Einhaltung des Gesellschaftsgesetzbuchs und der Gesellschaftssatzung. </w:t>
      </w:r>
    </w:p>
    <w:p w:rsidR="00E90EC5" w:rsidRPr="00615B30"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4" w:name="_Toc501021536"/>
      <w:bookmarkStart w:id="15" w:name="_Toc505264884"/>
      <w:r>
        <w:rPr>
          <w:rFonts w:asciiTheme="majorHAnsi" w:hAnsiTheme="majorHAnsi"/>
          <w:b/>
          <w:i/>
          <w:color w:val="365F91" w:themeColor="accent1" w:themeShade="BF"/>
          <w:sz w:val="24"/>
          <w:szCs w:val="24"/>
        </w:rPr>
        <w:t>Verantwortung des Kommissars</w:t>
      </w:r>
      <w:bookmarkEnd w:id="14"/>
      <w:bookmarkEnd w:id="15"/>
    </w:p>
    <w:p w:rsidR="00E90EC5" w:rsidRPr="00615B30"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Im Rahmen unseres Mandats und gemäß der belgischen Zusatznorm zu den in Belgien anwendbaren Internationalen Prüfungsstandards (ISAs) besteht unsere Verantwortung darin, </w:t>
      </w:r>
      <w:r w:rsidRPr="00D830F3">
        <w:rPr>
          <w:rFonts w:ascii="Times New Roman" w:hAnsi="Times New Roman"/>
          <w:sz w:val="24"/>
          <w:szCs w:val="24"/>
          <w:highlight w:val="lightGray"/>
        </w:rPr>
        <w:t xml:space="preserve">den </w:t>
      </w:r>
      <w:r w:rsidRPr="00D038E9">
        <w:rPr>
          <w:rFonts w:ascii="Times New Roman" w:hAnsi="Times New Roman"/>
          <w:sz w:val="24"/>
          <w:szCs w:val="24"/>
          <w:highlight w:val="lightGray"/>
        </w:rPr>
        <w:t>Lagebericht</w:t>
      </w:r>
      <w:r>
        <w:rPr>
          <w:rFonts w:ascii="Times New Roman" w:hAnsi="Times New Roman"/>
          <w:sz w:val="24"/>
          <w:szCs w:val="24"/>
          <w:highlight w:val="lightGray"/>
        </w:rPr>
        <w:t xml:space="preserve"> </w:t>
      </w:r>
      <w:r>
        <w:rPr>
          <w:rFonts w:ascii="Times New Roman" w:hAnsi="Times New Roman"/>
          <w:sz w:val="24"/>
          <w:szCs w:val="24"/>
        </w:rPr>
        <w:t>[</w:t>
      </w:r>
      <w:r>
        <w:rPr>
          <w:rFonts w:ascii="Times New Roman" w:hAnsi="Times New Roman"/>
          <w:sz w:val="24"/>
          <w:szCs w:val="24"/>
          <w:highlight w:val="lightGray"/>
        </w:rPr>
        <w:t>und die sonstigen im Jahresbericht enthaltenen Informationen</w:t>
      </w:r>
      <w:r>
        <w:rPr>
          <w:rFonts w:ascii="Times New Roman" w:hAnsi="Times New Roman"/>
          <w:sz w:val="24"/>
          <w:szCs w:val="24"/>
        </w:rPr>
        <w:t>], [</w:t>
      </w:r>
      <w:r>
        <w:rPr>
          <w:rFonts w:ascii="Times New Roman" w:hAnsi="Times New Roman"/>
          <w:sz w:val="24"/>
          <w:szCs w:val="24"/>
          <w:highlight w:val="lightGray"/>
        </w:rPr>
        <w:t>bestimmte gemäß den gesetzlichen und anderen rechtlichen Bestimmungen einzureichende Unterlagen,</w:t>
      </w:r>
      <w:r>
        <w:rPr>
          <w:rFonts w:ascii="Times New Roman" w:hAnsi="Times New Roman"/>
          <w:sz w:val="24"/>
          <w:szCs w:val="24"/>
        </w:rPr>
        <w:t xml:space="preserve">] in allen wesentlichen Aspekten zu prüfen und zu kontrollieren, ob gewisse Bestimmungen des Gesellschaftsgesetzbuchs und der Gesellschaftssatzung berücksichtigt wurden, und hierüber Bericht zu erstatten. </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highlight w:val="lightGray"/>
        </w:rPr>
      </w:pPr>
      <w:bookmarkStart w:id="16" w:name="_Toc501021537"/>
      <w:bookmarkStart w:id="17" w:name="_Toc505264885"/>
      <w:r>
        <w:rPr>
          <w:rFonts w:asciiTheme="majorHAnsi" w:hAnsiTheme="majorHAnsi"/>
          <w:b/>
          <w:i/>
          <w:color w:val="365F91" w:themeColor="accent1" w:themeShade="BF"/>
          <w:sz w:val="24"/>
          <w:szCs w:val="24"/>
        </w:rPr>
        <w:t xml:space="preserve">Im </w:t>
      </w:r>
      <w:r w:rsidRPr="00D830F3">
        <w:rPr>
          <w:rFonts w:asciiTheme="majorHAnsi" w:hAnsiTheme="majorHAnsi"/>
          <w:b/>
          <w:i/>
          <w:color w:val="365F91" w:themeColor="accent1" w:themeShade="BF"/>
          <w:sz w:val="24"/>
          <w:szCs w:val="24"/>
          <w:highlight w:val="lightGray"/>
        </w:rPr>
        <w:t>Lagebericht</w:t>
      </w:r>
      <w:r w:rsidRPr="00D830F3">
        <w:rPr>
          <w:rFonts w:ascii="Times New Roman" w:hAnsi="Times New Roman"/>
          <w:color w:val="365F91" w:themeColor="accent1" w:themeShade="BF"/>
          <w:sz w:val="24"/>
          <w:szCs w:val="24"/>
          <w:highlight w:val="lightGray"/>
          <w:vertAlign w:val="superscript"/>
        </w:rPr>
        <w:fldChar w:fldCharType="begin"/>
      </w:r>
      <w:r w:rsidRPr="00D830F3">
        <w:rPr>
          <w:rFonts w:ascii="Times New Roman" w:hAnsi="Times New Roman"/>
          <w:color w:val="365F91" w:themeColor="accent1" w:themeShade="BF"/>
          <w:sz w:val="24"/>
          <w:szCs w:val="24"/>
          <w:highlight w:val="lightGray"/>
          <w:vertAlign w:val="superscript"/>
        </w:rPr>
        <w:instrText xml:space="preserve"> NOTEREF _Ref508717894 \h  \* MERGEFORMAT </w:instrText>
      </w:r>
      <w:r w:rsidRPr="00D830F3">
        <w:rPr>
          <w:rFonts w:ascii="Times New Roman" w:hAnsi="Times New Roman"/>
          <w:color w:val="365F91" w:themeColor="accent1" w:themeShade="BF"/>
          <w:sz w:val="24"/>
          <w:szCs w:val="24"/>
          <w:highlight w:val="lightGray"/>
          <w:vertAlign w:val="superscript"/>
        </w:rPr>
      </w:r>
      <w:r w:rsidRPr="00D830F3">
        <w:rPr>
          <w:rFonts w:ascii="Times New Roman" w:hAnsi="Times New Roman"/>
          <w:color w:val="365F91" w:themeColor="accent1" w:themeShade="BF"/>
          <w:sz w:val="24"/>
          <w:szCs w:val="24"/>
          <w:highlight w:val="lightGray"/>
          <w:vertAlign w:val="superscript"/>
        </w:rPr>
        <w:fldChar w:fldCharType="separate"/>
      </w:r>
      <w:r w:rsidRPr="00D830F3">
        <w:rPr>
          <w:rFonts w:ascii="Times New Roman" w:hAnsi="Times New Roman"/>
          <w:color w:val="365F91" w:themeColor="accent1" w:themeShade="BF"/>
          <w:sz w:val="24"/>
          <w:szCs w:val="24"/>
          <w:highlight w:val="lightGray"/>
          <w:vertAlign w:val="superscript"/>
        </w:rPr>
        <w:t>6</w:t>
      </w:r>
      <w:r w:rsidRPr="00D830F3">
        <w:rPr>
          <w:rFonts w:ascii="Times New Roman" w:hAnsi="Times New Roman"/>
          <w:color w:val="365F91" w:themeColor="accent1" w:themeShade="BF"/>
          <w:sz w:val="24"/>
          <w:szCs w:val="24"/>
          <w:highlight w:val="lightGray"/>
          <w:vertAlign w:val="superscript"/>
        </w:rPr>
        <w:fldChar w:fldCharType="end"/>
      </w:r>
      <w:r w:rsidRPr="00AE5436">
        <w:rPr>
          <w:rFonts w:asciiTheme="majorHAnsi" w:hAnsiTheme="majorHAnsi"/>
          <w:b/>
          <w:i/>
          <w:color w:val="365F91" w:themeColor="accent1" w:themeShade="BF"/>
          <w:sz w:val="24"/>
          <w:szCs w:val="24"/>
        </w:rPr>
        <w:t xml:space="preserve"> [</w:t>
      </w:r>
      <w:r w:rsidRPr="00AE5436">
        <w:rPr>
          <w:rFonts w:asciiTheme="majorHAnsi" w:hAnsiTheme="majorHAnsi"/>
          <w:b/>
          <w:i/>
          <w:color w:val="365F91" w:themeColor="accent1" w:themeShade="BF"/>
          <w:sz w:val="24"/>
          <w:szCs w:val="24"/>
          <w:highlight w:val="lightGray"/>
        </w:rPr>
        <w:t>wenn zutreffend: und in den sonstigen im Jahresbericht</w:t>
      </w:r>
      <w:r w:rsidRPr="00D830F3">
        <w:rPr>
          <w:rFonts w:ascii="Times New Roman" w:hAnsi="Times New Roman"/>
          <w:color w:val="365F91" w:themeColor="accent1" w:themeShade="BF"/>
          <w:sz w:val="24"/>
          <w:szCs w:val="24"/>
          <w:highlight w:val="lightGray"/>
          <w:vertAlign w:val="superscript"/>
        </w:rPr>
        <w:fldChar w:fldCharType="begin"/>
      </w:r>
      <w:r w:rsidRPr="00D830F3">
        <w:rPr>
          <w:rFonts w:ascii="Times New Roman" w:hAnsi="Times New Roman"/>
          <w:color w:val="365F91" w:themeColor="accent1" w:themeShade="BF"/>
          <w:sz w:val="24"/>
          <w:szCs w:val="24"/>
          <w:highlight w:val="lightGray"/>
          <w:vertAlign w:val="superscript"/>
        </w:rPr>
        <w:instrText xml:space="preserve"> NOTEREF _Ref508717924 \h  \* MERGEFORMAT </w:instrText>
      </w:r>
      <w:r w:rsidRPr="00D830F3">
        <w:rPr>
          <w:rFonts w:ascii="Times New Roman" w:hAnsi="Times New Roman"/>
          <w:color w:val="365F91" w:themeColor="accent1" w:themeShade="BF"/>
          <w:sz w:val="24"/>
          <w:szCs w:val="24"/>
          <w:highlight w:val="lightGray"/>
          <w:vertAlign w:val="superscript"/>
        </w:rPr>
      </w:r>
      <w:r w:rsidRPr="00D830F3">
        <w:rPr>
          <w:rFonts w:ascii="Times New Roman" w:hAnsi="Times New Roman"/>
          <w:color w:val="365F91" w:themeColor="accent1" w:themeShade="BF"/>
          <w:sz w:val="24"/>
          <w:szCs w:val="24"/>
          <w:highlight w:val="lightGray"/>
          <w:vertAlign w:val="superscript"/>
        </w:rPr>
        <w:fldChar w:fldCharType="separate"/>
      </w:r>
      <w:r w:rsidRPr="00D830F3">
        <w:rPr>
          <w:rFonts w:ascii="Times New Roman" w:hAnsi="Times New Roman"/>
          <w:color w:val="365F91" w:themeColor="accent1" w:themeShade="BF"/>
          <w:sz w:val="24"/>
          <w:szCs w:val="24"/>
          <w:highlight w:val="lightGray"/>
          <w:vertAlign w:val="superscript"/>
        </w:rPr>
        <w:t>7</w:t>
      </w:r>
      <w:r w:rsidRPr="00D830F3">
        <w:rPr>
          <w:rFonts w:ascii="Times New Roman" w:hAnsi="Times New Roman"/>
          <w:color w:val="365F91" w:themeColor="accent1" w:themeShade="BF"/>
          <w:sz w:val="24"/>
          <w:szCs w:val="24"/>
          <w:highlight w:val="lightGray"/>
          <w:vertAlign w:val="superscript"/>
        </w:rPr>
        <w:fldChar w:fldCharType="end"/>
      </w:r>
      <w:r w:rsidRPr="00AE5436">
        <w:rPr>
          <w:rFonts w:asciiTheme="majorHAnsi" w:hAnsiTheme="majorHAnsi"/>
          <w:b/>
          <w:i/>
          <w:color w:val="365F91" w:themeColor="accent1" w:themeShade="BF"/>
          <w:sz w:val="24"/>
          <w:szCs w:val="24"/>
          <w:highlight w:val="lightGray"/>
        </w:rPr>
        <w:t xml:space="preserve"> enthaltenen Informationen</w:t>
      </w:r>
      <w:r w:rsidRPr="00AE5436">
        <w:rPr>
          <w:rFonts w:asciiTheme="majorHAnsi" w:hAnsiTheme="majorHAnsi"/>
          <w:b/>
          <w:i/>
          <w:color w:val="365F91" w:themeColor="accent1" w:themeShade="BF"/>
          <w:sz w:val="24"/>
          <w:szCs w:val="24"/>
        </w:rPr>
        <w:t>] behandelte Aspekte</w:t>
      </w:r>
      <w:bookmarkEnd w:id="16"/>
      <w:bookmarkEnd w:id="17"/>
    </w:p>
    <w:p w:rsidR="00E90EC5" w:rsidRDefault="00E90EC5" w:rsidP="00E90EC5">
      <w:pPr>
        <w:spacing w:after="0"/>
        <w:rPr>
          <w:rFonts w:ascii="Times New Roman" w:hAnsi="Times New Roman"/>
          <w:sz w:val="24"/>
          <w:szCs w:val="24"/>
        </w:rPr>
      </w:pPr>
      <w:r>
        <w:rPr>
          <w:rFonts w:ascii="Times New Roman" w:hAnsi="Times New Roman"/>
          <w:sz w:val="24"/>
          <w:szCs w:val="24"/>
        </w:rPr>
        <w:t>Nach spezifischen Prüfungen des Lageberichts sind wir zu der Einschätzung gelangt, dass dieser zum einen mit dem Jahresabschluss für dasselbe Geschäftsjahr übereinstimmt und zum anderen gemäß Artikel 95 und 96 des Gesellschaftsgesetzbuchs erstellt wurde.</w:t>
      </w:r>
    </w:p>
    <w:p w:rsidR="00E90EC5" w:rsidRPr="00AE5436" w:rsidRDefault="00E90EC5" w:rsidP="00E90EC5">
      <w:pPr>
        <w:spacing w:after="0"/>
        <w:rPr>
          <w:rFonts w:ascii="Times New Roman" w:hAnsi="Times New Roman"/>
          <w:sz w:val="24"/>
          <w:szCs w:val="24"/>
        </w:rPr>
      </w:pPr>
    </w:p>
    <w:p w:rsidR="00E90EC5" w:rsidRPr="00D830F3" w:rsidRDefault="00E90EC5" w:rsidP="00E90EC5">
      <w:pPr>
        <w:spacing w:after="120"/>
        <w:jc w:val="both"/>
        <w:rPr>
          <w:rFonts w:ascii="Times New Roman" w:hAnsi="Times New Roman"/>
          <w:i/>
          <w:sz w:val="24"/>
          <w:szCs w:val="24"/>
          <w:lang w:val="en-US"/>
        </w:rPr>
      </w:pPr>
      <w:r w:rsidRPr="00D830F3">
        <w:rPr>
          <w:rFonts w:ascii="Times New Roman" w:hAnsi="Times New Roman"/>
          <w:i/>
          <w:sz w:val="24"/>
          <w:szCs w:val="24"/>
          <w:highlight w:val="lightGray"/>
          <w:lang w:val="en-US"/>
        </w:rPr>
        <w:t xml:space="preserve">Paragraph to be used when the company publishes </w:t>
      </w:r>
      <w:r w:rsidRPr="00D830F3">
        <w:rPr>
          <w:rFonts w:ascii="Times New Roman" w:hAnsi="Times New Roman"/>
          <w:b/>
          <w:i/>
          <w:sz w:val="24"/>
          <w:szCs w:val="24"/>
          <w:highlight w:val="lightGray"/>
          <w:lang w:val="en-US"/>
        </w:rPr>
        <w:t>only the BoD’s annual report</w:t>
      </w:r>
      <w:r w:rsidRPr="00D830F3">
        <w:rPr>
          <w:rFonts w:ascii="Times New Roman" w:hAnsi="Times New Roman"/>
          <w:i/>
          <w:sz w:val="24"/>
          <w:szCs w:val="24"/>
          <w:highlight w:val="lightGray"/>
          <w:lang w:val="en-US"/>
        </w:rPr>
        <w:t xml:space="preserve"> on the annual accounts</w:t>
      </w:r>
      <w:r w:rsidRPr="00D830F3">
        <w:rPr>
          <w:rFonts w:ascii="Times New Roman" w:hAnsi="Times New Roman"/>
          <w:i/>
          <w:sz w:val="24"/>
          <w:szCs w:val="24"/>
          <w:lang w:val="en-US"/>
        </w:rPr>
        <w:t xml:space="preserve">: </w:t>
      </w:r>
    </w:p>
    <w:p w:rsidR="00E90EC5" w:rsidRPr="00D830F3" w:rsidRDefault="00E90EC5" w:rsidP="00E90EC5">
      <w:pPr>
        <w:spacing w:after="0" w:line="240" w:lineRule="auto"/>
        <w:jc w:val="both"/>
        <w:rPr>
          <w:rFonts w:ascii="Times New Roman" w:hAnsi="Times New Roman"/>
          <w:sz w:val="24"/>
          <w:szCs w:val="24"/>
          <w:lang w:val="en-US"/>
        </w:rPr>
      </w:pPr>
    </w:p>
    <w:p w:rsidR="00E90EC5" w:rsidRDefault="00E90EC5" w:rsidP="00E90EC5">
      <w:pPr>
        <w:spacing w:after="0"/>
        <w:rPr>
          <w:rFonts w:ascii="Times New Roman" w:hAnsi="Times New Roman"/>
          <w:spacing w:val="-2"/>
          <w:sz w:val="24"/>
          <w:szCs w:val="24"/>
        </w:rPr>
      </w:pPr>
      <w:r w:rsidRPr="00507376">
        <w:rPr>
          <w:rFonts w:ascii="Times New Roman" w:hAnsi="Times New Roman"/>
          <w:spacing w:val="-2"/>
          <w:sz w:val="24"/>
          <w:szCs w:val="24"/>
        </w:rPr>
        <w:t xml:space="preserve">Im Rahmen unserer Jahresabschlussprüfung müssen wir zudem v. a. auf Grundlage unserer während der Prüfung erworbenen Kenntnisse beurteilen, ob der Lagebericht wesentliche falsche Darstellungen enthält, d. h. nicht korrekt formulierte oder anderweitig irreführende Informationen. </w:t>
      </w:r>
    </w:p>
    <w:p w:rsidR="00E90EC5" w:rsidRDefault="00E90EC5" w:rsidP="00E90EC5">
      <w:pPr>
        <w:spacing w:after="0"/>
        <w:rPr>
          <w:rFonts w:ascii="Times New Roman" w:hAnsi="Times New Roman"/>
          <w:spacing w:val="-2"/>
          <w:sz w:val="24"/>
          <w:szCs w:val="24"/>
        </w:rPr>
      </w:pPr>
    </w:p>
    <w:p w:rsidR="00E90EC5" w:rsidRDefault="00E90EC5" w:rsidP="00E90EC5">
      <w:pPr>
        <w:spacing w:after="0"/>
        <w:rPr>
          <w:rFonts w:ascii="Times New Roman" w:hAnsi="Times New Roman"/>
          <w:spacing w:val="-2"/>
          <w:sz w:val="24"/>
          <w:szCs w:val="24"/>
        </w:rPr>
      </w:pPr>
    </w:p>
    <w:p w:rsidR="00E90EC5" w:rsidRPr="00507376" w:rsidRDefault="00E90EC5" w:rsidP="00E90EC5">
      <w:pPr>
        <w:spacing w:after="0"/>
        <w:rPr>
          <w:rFonts w:ascii="Times New Roman" w:hAnsi="Times New Roman"/>
          <w:spacing w:val="-2"/>
          <w:sz w:val="24"/>
          <w:szCs w:val="24"/>
        </w:rPr>
      </w:pPr>
      <w:r w:rsidRPr="00507376">
        <w:rPr>
          <w:rFonts w:ascii="Times New Roman" w:hAnsi="Times New Roman"/>
          <w:spacing w:val="-2"/>
          <w:sz w:val="24"/>
          <w:szCs w:val="24"/>
        </w:rPr>
        <w:t>Auf Grundlage unserer Prüfungen können wir keine wesentliche falsche Darstellung feststellen. Wir geben keinerlei Gewährleistungen in Bezug auf den Lagebericht ab.</w:t>
      </w:r>
    </w:p>
    <w:p w:rsidR="00E90EC5" w:rsidRPr="007E0CBB" w:rsidRDefault="00E90EC5" w:rsidP="00E90EC5">
      <w:pPr>
        <w:spacing w:after="0"/>
        <w:rPr>
          <w:rFonts w:ascii="Times New Roman" w:hAnsi="Times New Roman"/>
          <w:sz w:val="24"/>
          <w:szCs w:val="24"/>
        </w:rPr>
      </w:pPr>
    </w:p>
    <w:p w:rsidR="00E90EC5" w:rsidRPr="00D830F3" w:rsidRDefault="00E90EC5" w:rsidP="00E90EC5">
      <w:pPr>
        <w:spacing w:after="0"/>
        <w:rPr>
          <w:rFonts w:ascii="Times New Roman" w:hAnsi="Times New Roman"/>
          <w:i/>
          <w:sz w:val="24"/>
          <w:szCs w:val="24"/>
          <w:lang w:val="en-US"/>
        </w:rPr>
      </w:pPr>
      <w:r w:rsidRPr="00D830F3">
        <w:rPr>
          <w:rFonts w:ascii="Times New Roman" w:hAnsi="Times New Roman"/>
          <w:i/>
          <w:sz w:val="24"/>
          <w:szCs w:val="24"/>
          <w:highlight w:val="lightGray"/>
          <w:lang w:val="en-US"/>
        </w:rPr>
        <w:t>Paragraph to be used when the company publishes an annual report which includes the BoD’s annual report on the annual accounts:</w:t>
      </w:r>
      <w:r w:rsidRPr="00D830F3">
        <w:rPr>
          <w:rFonts w:ascii="Times New Roman" w:hAnsi="Times New Roman"/>
          <w:i/>
          <w:sz w:val="24"/>
          <w:szCs w:val="24"/>
          <w:lang w:val="en-US"/>
        </w:rPr>
        <w:t xml:space="preserve"> </w:t>
      </w:r>
    </w:p>
    <w:p w:rsidR="00E90EC5" w:rsidRDefault="00E90EC5" w:rsidP="00E90EC5">
      <w:pPr>
        <w:spacing w:after="0"/>
        <w:rPr>
          <w:rFonts w:ascii="Times New Roman" w:hAnsi="Times New Roman"/>
          <w:sz w:val="24"/>
          <w:szCs w:val="24"/>
          <w:lang w:val="en-US"/>
        </w:rPr>
      </w:pP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Im Rahmen unserer Jahresabschlussprüfung müssen wir zudem v. a. auf Grundlage unserer während der Prüfung erworbenen Kenntnisse beurteilen, ob der Lagebericht und die sonstigen im Jahresbericht enthaltenen Informationen, d. h.:</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 [</w:t>
      </w:r>
      <w:r>
        <w:rPr>
          <w:rFonts w:ascii="Times New Roman" w:hAnsi="Times New Roman"/>
          <w:sz w:val="24"/>
          <w:szCs w:val="24"/>
          <w:highlight w:val="lightGray"/>
        </w:rPr>
        <w:t>zu vervollständigen</w:t>
      </w:r>
      <w:r>
        <w:rPr>
          <w:rFonts w:ascii="Times New Roman" w:hAnsi="Times New Roman"/>
          <w:sz w:val="24"/>
          <w:szCs w:val="24"/>
        </w:rPr>
        <w:t>]</w:t>
      </w:r>
      <w:r>
        <w:rPr>
          <w:rFonts w:ascii="Times New Roman" w:hAnsi="Times New Roman"/>
          <w:b/>
          <w:i/>
          <w:sz w:val="24"/>
          <w:szCs w:val="24"/>
          <w:highlight w:val="lightGray"/>
          <w:u w:val="single"/>
          <w:vertAlign w:val="superscript"/>
        </w:rPr>
        <w:t xml:space="preserve"> [</w:t>
      </w:r>
      <w:r w:rsidRPr="007E0CBB">
        <w:rPr>
          <w:rFonts w:ascii="Times New Roman" w:hAnsi="Times New Roman"/>
          <w:b/>
          <w:i/>
          <w:sz w:val="24"/>
          <w:szCs w:val="24"/>
          <w:highlight w:val="lightGray"/>
          <w:u w:val="single"/>
          <w:vertAlign w:val="superscript"/>
        </w:rPr>
        <w:footnoteReference w:id="4"/>
      </w:r>
      <w:r>
        <w:rPr>
          <w:rFonts w:ascii="Times New Roman" w:hAnsi="Times New Roman"/>
          <w:b/>
          <w:i/>
          <w:sz w:val="24"/>
          <w:szCs w:val="24"/>
          <w:u w:val="single"/>
          <w:vertAlign w:val="superscript"/>
        </w:rPr>
        <w:t>]</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 …</w:t>
      </w:r>
    </w:p>
    <w:p w:rsidR="00E90EC5" w:rsidRPr="007E0CBB" w:rsidRDefault="00E90EC5" w:rsidP="00E90EC5">
      <w:pPr>
        <w:spacing w:after="0"/>
        <w:rPr>
          <w:rFonts w:ascii="Times New Roman" w:hAnsi="Times New Roman"/>
          <w:sz w:val="24"/>
          <w:szCs w:val="24"/>
        </w:rPr>
      </w:pPr>
      <w:r>
        <w:rPr>
          <w:rFonts w:ascii="Times New Roman" w:hAnsi="Times New Roman"/>
          <w:sz w:val="24"/>
          <w:szCs w:val="24"/>
        </w:rPr>
        <w:t>wesentliche falsche Darstellungen enthalten, d. h. nicht korrekt formulierte oder anderweitig irreführende Informationen. Auf Grundlage unserer Prüfungen können wir keine wesentliche falsche Darstellung feststellen. Wir geben keinerlei Gewährleistungen in Bezug auf den Lagebericht und die sonstigen im Jahresbericht enthaltenen Informationen  ab.</w:t>
      </w:r>
    </w:p>
    <w:p w:rsidR="00E90EC5" w:rsidRPr="007E0CBB"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18" w:name="_Toc501021538"/>
      <w:bookmarkStart w:id="19" w:name="_Toc505264886"/>
      <w:r>
        <w:rPr>
          <w:rFonts w:asciiTheme="majorHAnsi" w:hAnsiTheme="majorHAnsi"/>
          <w:b/>
          <w:i/>
          <w:color w:val="365F91" w:themeColor="accent1" w:themeShade="BF"/>
          <w:sz w:val="24"/>
          <w:szCs w:val="24"/>
        </w:rPr>
        <w:t>Hinweis zur Sozialbilanz</w:t>
      </w:r>
      <w:bookmarkEnd w:id="18"/>
      <w:bookmarkEnd w:id="19"/>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Die Sozialbilanz, die gemäß Artikel 100, Abs. 1, 6°/2 des Gesellschaftsgesetzbuchs bei der Belgischen Nationalbank zu hinterlegen ist, beinhaltet in Form und Inhalt die gesetzlich vorgeschriebenen Angaben und beinhaltet keine Auskünfte, die in offensichtlichem Widerspruch stehen zu den Informationen, über die wir im Rahmen unseres Mandats verfügen. </w:t>
      </w:r>
    </w:p>
    <w:p w:rsidR="00E90EC5"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jc w:val="both"/>
        <w:outlineLvl w:val="2"/>
        <w:rPr>
          <w:rFonts w:asciiTheme="majorHAnsi" w:eastAsiaTheme="majorEastAsia" w:hAnsiTheme="majorHAnsi" w:cstheme="majorBidi"/>
          <w:b/>
          <w:i/>
          <w:color w:val="365F91" w:themeColor="accent1" w:themeShade="BF"/>
          <w:sz w:val="24"/>
          <w:szCs w:val="24"/>
          <w:highlight w:val="lightGray"/>
        </w:rPr>
      </w:pPr>
      <w:bookmarkStart w:id="20" w:name="_Toc501021539"/>
      <w:bookmarkStart w:id="21" w:name="_Toc505264887"/>
      <w:r>
        <w:rPr>
          <w:rFonts w:asciiTheme="majorHAnsi" w:hAnsiTheme="majorHAnsi"/>
          <w:b/>
          <w:i/>
          <w:color w:val="365F91" w:themeColor="accent1" w:themeShade="BF"/>
          <w:sz w:val="24"/>
          <w:szCs w:val="24"/>
        </w:rPr>
        <w:t>[</w:t>
      </w:r>
      <w:r>
        <w:rPr>
          <w:rFonts w:asciiTheme="majorHAnsi" w:hAnsiTheme="majorHAnsi"/>
          <w:b/>
          <w:i/>
          <w:color w:val="365F91" w:themeColor="accent1" w:themeShade="BF"/>
          <w:sz w:val="24"/>
          <w:szCs w:val="24"/>
          <w:highlight w:val="lightGray"/>
        </w:rPr>
        <w:t>Hinweis zu den Dokumenten, die gemäß Artikel 100, Abs. 1, 5° und 6°/1 des Gesellschaftsgesetzbuchs zu hinterlegen sind</w:t>
      </w:r>
      <w:r>
        <w:rPr>
          <w:rFonts w:asciiTheme="majorHAnsi" w:hAnsiTheme="majorHAnsi"/>
          <w:b/>
          <w:i/>
          <w:color w:val="365F91" w:themeColor="accent1" w:themeShade="BF"/>
          <w:sz w:val="24"/>
          <w:szCs w:val="24"/>
        </w:rPr>
        <w:t>] [</w:t>
      </w:r>
      <w:r>
        <w:rPr>
          <w:rFonts w:asciiTheme="majorHAnsi" w:hAnsiTheme="majorHAnsi"/>
          <w:b/>
          <w:i/>
          <w:color w:val="365F91" w:themeColor="accent1" w:themeShade="BF"/>
          <w:sz w:val="24"/>
          <w:szCs w:val="24"/>
          <w:highlight w:val="lightGray"/>
        </w:rPr>
        <w:t>Falls zutreffend, wenn die Daten nicht bereits in anderer Form im Jahresabschluss angegeben werden]</w:t>
      </w:r>
      <w:bookmarkEnd w:id="20"/>
      <w:r>
        <w:rPr>
          <w:rFonts w:asciiTheme="majorHAnsi" w:hAnsiTheme="majorHAnsi"/>
          <w:b/>
          <w:i/>
          <w:color w:val="365F91" w:themeColor="accent1" w:themeShade="BF"/>
          <w:sz w:val="24"/>
          <w:szCs w:val="24"/>
          <w:highlight w:val="lightGray"/>
        </w:rPr>
        <w:t>]</w:t>
      </w:r>
      <w:bookmarkEnd w:id="21"/>
    </w:p>
    <w:p w:rsidR="00E90EC5" w:rsidRDefault="00E90EC5" w:rsidP="00E90EC5">
      <w:pPr>
        <w:tabs>
          <w:tab w:val="left" w:pos="426"/>
        </w:tabs>
        <w:spacing w:after="0" w:line="240" w:lineRule="auto"/>
        <w:jc w:val="both"/>
        <w:rPr>
          <w:rFonts w:ascii="Times New Roman" w:hAnsi="Times New Roman"/>
          <w:i/>
          <w:sz w:val="24"/>
          <w:szCs w:val="24"/>
          <w:u w:val="single"/>
        </w:rPr>
      </w:pPr>
    </w:p>
    <w:p w:rsidR="00E90EC5" w:rsidRDefault="00E90EC5" w:rsidP="00E90EC5">
      <w:pPr>
        <w:tabs>
          <w:tab w:val="left" w:pos="426"/>
        </w:tabs>
        <w:spacing w:after="0" w:line="240" w:lineRule="auto"/>
        <w:jc w:val="both"/>
        <w:rPr>
          <w:rFonts w:ascii="Times New Roman" w:hAnsi="Times New Roman"/>
          <w:color w:val="000000" w:themeColor="text1"/>
          <w:sz w:val="24"/>
          <w:szCs w:val="24"/>
        </w:rPr>
      </w:pPr>
      <w:r w:rsidRPr="00D830F3">
        <w:rPr>
          <w:rFonts w:ascii="Times New Roman" w:hAnsi="Times New Roman"/>
          <w:sz w:val="24"/>
          <w:szCs w:val="24"/>
        </w:rPr>
        <w:t>Die folgenden Dokumente, die</w:t>
      </w:r>
      <w:r w:rsidRPr="00C7341C">
        <w:rPr>
          <w:rFonts w:ascii="Times New Roman" w:hAnsi="Times New Roman"/>
          <w:sz w:val="24"/>
          <w:szCs w:val="24"/>
        </w:rPr>
        <w:t xml:space="preserve"> </w:t>
      </w:r>
      <w:r w:rsidRPr="00D830F3">
        <w:rPr>
          <w:rFonts w:ascii="Times New Roman" w:hAnsi="Times New Roman"/>
          <w:sz w:val="24"/>
          <w:szCs w:val="24"/>
        </w:rPr>
        <w:t>gemäß Artikel 100</w:t>
      </w:r>
      <w:r w:rsidRPr="00C7341C">
        <w:rPr>
          <w:rFonts w:ascii="Times New Roman" w:hAnsi="Times New Roman"/>
          <w:sz w:val="24"/>
          <w:szCs w:val="24"/>
        </w:rPr>
        <w:t xml:space="preserve">, Abs. 1, 5° und 6°/1 </w:t>
      </w:r>
      <w:r w:rsidRPr="00D830F3">
        <w:rPr>
          <w:rFonts w:ascii="Times New Roman" w:hAnsi="Times New Roman"/>
          <w:sz w:val="24"/>
          <w:szCs w:val="24"/>
        </w:rPr>
        <w:t xml:space="preserve">des Gesellschaftsgesetzbuches bei der Belgischen Nationalbank zu hinterlegen sind, </w:t>
      </w:r>
      <w:r w:rsidRPr="00D830F3">
        <w:rPr>
          <w:rFonts w:ascii="Times New Roman" w:hAnsi="Times New Roman"/>
          <w:color w:val="000000" w:themeColor="text1"/>
          <w:sz w:val="24"/>
          <w:szCs w:val="24"/>
        </w:rPr>
        <w:t xml:space="preserve">nehmen in Form und Inhalt Bezug auf die gesetzlich vorgeschriebenen Angaben und beinhalten keine Auskünfte, die in offensichtlichem Widerspruch stehen zu den Informationen, über die wir im Rahmen unseres </w:t>
      </w:r>
      <w:r>
        <w:rPr>
          <w:rFonts w:ascii="Times New Roman" w:hAnsi="Times New Roman"/>
          <w:color w:val="000000" w:themeColor="text1"/>
          <w:sz w:val="24"/>
          <w:szCs w:val="24"/>
        </w:rPr>
        <w:t>Mandats</w:t>
      </w:r>
      <w:r w:rsidRPr="00D830F3">
        <w:rPr>
          <w:rFonts w:ascii="Times New Roman" w:hAnsi="Times New Roman"/>
          <w:color w:val="000000" w:themeColor="text1"/>
          <w:sz w:val="24"/>
          <w:szCs w:val="24"/>
        </w:rPr>
        <w:t xml:space="preserve"> verfügen:</w:t>
      </w:r>
    </w:p>
    <w:p w:rsidR="00E90EC5" w:rsidRPr="00D830F3" w:rsidRDefault="00E90EC5" w:rsidP="00E90EC5">
      <w:pPr>
        <w:tabs>
          <w:tab w:val="left" w:pos="426"/>
        </w:tabs>
        <w:spacing w:after="0" w:line="240" w:lineRule="auto"/>
        <w:jc w:val="both"/>
        <w:rPr>
          <w:rFonts w:ascii="Times New Roman" w:hAnsi="Times New Roman"/>
          <w:color w:val="000000" w:themeColor="text1"/>
          <w:sz w:val="24"/>
          <w:szCs w:val="24"/>
        </w:rPr>
      </w:pPr>
    </w:p>
    <w:p w:rsidR="00E90EC5" w:rsidRPr="00D830F3" w:rsidRDefault="00E90EC5" w:rsidP="00E90EC5">
      <w:pPr>
        <w:numPr>
          <w:ilvl w:val="0"/>
          <w:numId w:val="1"/>
        </w:numPr>
        <w:spacing w:after="0"/>
        <w:jc w:val="both"/>
        <w:rPr>
          <w:rFonts w:ascii="Times New Roman" w:hAnsi="Times New Roman"/>
          <w:sz w:val="24"/>
          <w:szCs w:val="24"/>
          <w:highlight w:val="lightGray"/>
        </w:rPr>
      </w:pPr>
      <w:r w:rsidRPr="00D830F3">
        <w:rPr>
          <w:rFonts w:ascii="Times New Roman" w:hAnsi="Times New Roman"/>
          <w:sz w:val="24"/>
          <w:szCs w:val="24"/>
          <w:highlight w:val="lightGray"/>
        </w:rPr>
        <w:t>das Dokument, das folgende Informationen enthält, es sei denn, diese werden bereits in anderer Form im Jahresabschluss angegeben:</w:t>
      </w:r>
    </w:p>
    <w:p w:rsidR="00E90EC5" w:rsidRPr="00D830F3"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lastRenderedPageBreak/>
        <w:t>a) zum Abschlussdatum: Summe der Verbindlichkeiten oder des Teiles der Verbindlichkeiten, die von den belgischen Behörden garantiert werden</w:t>
      </w:r>
    </w:p>
    <w:p w:rsidR="00E90EC5" w:rsidRPr="00D830F3"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t>b) zum selben Datum: Summe der ausstehenden Verbindlichkeiten gegenüber den Fiskalbehörden und dem Landesamt für soziale Sicherheit, unabhängig davon, ob Zahlungsfristen vereinbart wurden oder nicht;</w:t>
      </w:r>
    </w:p>
    <w:p w:rsidR="00E90EC5" w:rsidRDefault="00E90EC5" w:rsidP="00E90EC5">
      <w:pPr>
        <w:spacing w:after="0"/>
        <w:ind w:left="1416"/>
        <w:jc w:val="both"/>
        <w:rPr>
          <w:rFonts w:ascii="Times New Roman" w:hAnsi="Times New Roman"/>
          <w:sz w:val="24"/>
          <w:szCs w:val="24"/>
          <w:highlight w:val="lightGray"/>
        </w:rPr>
      </w:pPr>
      <w:r w:rsidRPr="00D830F3">
        <w:rPr>
          <w:rFonts w:ascii="Times New Roman" w:hAnsi="Times New Roman"/>
          <w:sz w:val="24"/>
          <w:szCs w:val="24"/>
          <w:highlight w:val="lightGray"/>
        </w:rPr>
        <w:t>c) Summe der von den Behörden oder öffentlichen Einrichtungen gezahlten oder gewährten Kapital- oder Zinszuschüsse im abgeschlossenen Geschäftsjahr;</w:t>
      </w:r>
    </w:p>
    <w:p w:rsidR="00E90EC5" w:rsidRPr="00D830F3" w:rsidRDefault="00E90EC5" w:rsidP="00E90EC5">
      <w:pPr>
        <w:spacing w:after="0"/>
        <w:ind w:left="1416"/>
        <w:jc w:val="both"/>
        <w:rPr>
          <w:rFonts w:ascii="Times New Roman" w:hAnsi="Times New Roman"/>
          <w:sz w:val="24"/>
          <w:szCs w:val="24"/>
          <w:highlight w:val="lightGray"/>
        </w:rPr>
      </w:pPr>
    </w:p>
    <w:p w:rsidR="00E90EC5" w:rsidRPr="00D830F3" w:rsidRDefault="00E90EC5" w:rsidP="00E90EC5">
      <w:pPr>
        <w:numPr>
          <w:ilvl w:val="0"/>
          <w:numId w:val="1"/>
        </w:numPr>
        <w:spacing w:after="0"/>
        <w:ind w:left="1068"/>
        <w:jc w:val="both"/>
        <w:rPr>
          <w:rFonts w:ascii="Times New Roman" w:hAnsi="Times New Roman"/>
          <w:sz w:val="24"/>
          <w:szCs w:val="24"/>
          <w:highlight w:val="lightGray"/>
        </w:rPr>
      </w:pPr>
      <w:r w:rsidRPr="00D830F3">
        <w:rPr>
          <w:rFonts w:ascii="Times New Roman" w:hAnsi="Times New Roman"/>
          <w:sz w:val="24"/>
          <w:szCs w:val="24"/>
          <w:highlight w:val="lightGray"/>
        </w:rPr>
        <w:t>Liste der Unternehmen, an denen die Gesellschaft eine Beteiligung hält: [</w:t>
      </w:r>
      <w:r w:rsidRPr="00C7341C">
        <w:rPr>
          <w:rFonts w:ascii="Times New Roman" w:hAnsi="Times New Roman"/>
          <w:sz w:val="24"/>
          <w:szCs w:val="24"/>
          <w:highlight w:val="lightGray"/>
        </w:rPr>
        <w:t>…</w:t>
      </w:r>
      <w:r w:rsidRPr="00D830F3">
        <w:rPr>
          <w:rFonts w:ascii="Times New Roman" w:hAnsi="Times New Roman"/>
          <w:sz w:val="24"/>
          <w:szCs w:val="24"/>
          <w:highlight w:val="lightGray"/>
        </w:rPr>
        <w:t>]</w:t>
      </w:r>
    </w:p>
    <w:p w:rsidR="00E90EC5" w:rsidRPr="007E0CBB" w:rsidRDefault="00E90EC5" w:rsidP="00E90EC5">
      <w:pPr>
        <w:spacing w:after="0"/>
        <w:ind w:left="1068"/>
        <w:jc w:val="both"/>
        <w:rPr>
          <w:rFonts w:ascii="Times New Roman" w:hAnsi="Times New Roman"/>
          <w:sz w:val="24"/>
          <w:szCs w:val="24"/>
        </w:rPr>
      </w:pPr>
      <w:r>
        <w:rPr>
          <w:rFonts w:ascii="Times New Roman" w:hAnsi="Times New Roman"/>
          <w:i/>
          <w:sz w:val="24"/>
          <w:szCs w:val="24"/>
          <w:highlight w:val="lightGray"/>
        </w:rPr>
        <w:t>Die vorstehend genannte Liste wird ggf. durch eine Übersicht der Unternehmen ergänzt, an denen die Gesellschaft als unbeschränkt haftender Gesellschafter oder Mitglied mit beschränkter Haftung beteiligt ist</w:t>
      </w:r>
      <w:r>
        <w:rPr>
          <w:rFonts w:ascii="Times New Roman" w:hAnsi="Times New Roman"/>
          <w:i/>
          <w:sz w:val="24"/>
          <w:szCs w:val="24"/>
        </w:rPr>
        <w:t>.</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22" w:name="_Toc501021540"/>
      <w:bookmarkStart w:id="23" w:name="_Toc505264888"/>
      <w:r>
        <w:rPr>
          <w:rFonts w:asciiTheme="majorHAnsi" w:hAnsiTheme="majorHAnsi"/>
          <w:b/>
          <w:i/>
          <w:color w:val="365F91" w:themeColor="accent1" w:themeShade="BF"/>
          <w:sz w:val="24"/>
          <w:szCs w:val="24"/>
        </w:rPr>
        <w:t>Angaben zur Unabhängigkeit</w:t>
      </w:r>
      <w:bookmarkEnd w:id="22"/>
      <w:bookmarkEnd w:id="23"/>
    </w:p>
    <w:p w:rsidR="00E90EC5" w:rsidRPr="007E0CBB" w:rsidRDefault="00E90EC5" w:rsidP="00E90EC5">
      <w:pPr>
        <w:spacing w:after="0"/>
        <w:rPr>
          <w:rFonts w:ascii="Times New Roman" w:hAnsi="Times New Roman"/>
          <w:sz w:val="24"/>
          <w:szCs w:val="24"/>
        </w:rPr>
      </w:pPr>
    </w:p>
    <w:p w:rsidR="00E90EC5" w:rsidRPr="007E0CBB" w:rsidRDefault="00E90EC5" w:rsidP="00E90EC5">
      <w:pPr>
        <w:numPr>
          <w:ilvl w:val="0"/>
          <w:numId w:val="1"/>
        </w:numPr>
        <w:spacing w:after="0"/>
        <w:jc w:val="both"/>
        <w:rPr>
          <w:rFonts w:ascii="Times New Roman" w:hAnsi="Times New Roman"/>
          <w:sz w:val="24"/>
          <w:szCs w:val="24"/>
        </w:rPr>
      </w:pPr>
      <w:r>
        <w:rPr>
          <w:rFonts w:ascii="Times New Roman" w:hAnsi="Times New Roman"/>
          <w:sz w:val="24"/>
          <w:szCs w:val="24"/>
        </w:rPr>
        <w:t xml:space="preserve">Unsere Prüfungsgesellschaft </w:t>
      </w:r>
      <w:r w:rsidRPr="00D830F3">
        <w:rPr>
          <w:rFonts w:ascii="Times New Roman" w:hAnsi="Times New Roman"/>
          <w:sz w:val="24"/>
          <w:szCs w:val="24"/>
          <w:highlight w:val="lightGray"/>
        </w:rPr>
        <w:t>sow</w:t>
      </w:r>
      <w:r>
        <w:rPr>
          <w:rFonts w:ascii="Times New Roman" w:hAnsi="Times New Roman"/>
          <w:sz w:val="24"/>
          <w:szCs w:val="24"/>
          <w:highlight w:val="lightGray"/>
        </w:rPr>
        <w:t>ie unser</w:t>
      </w:r>
      <w:r w:rsidRPr="00D830F3">
        <w:rPr>
          <w:rFonts w:ascii="Times New Roman" w:hAnsi="Times New Roman"/>
          <w:sz w:val="24"/>
          <w:szCs w:val="24"/>
          <w:highlight w:val="lightGray"/>
        </w:rPr>
        <w:t xml:space="preserve"> Netzwerk hat/haben</w:t>
      </w:r>
      <w:r>
        <w:rPr>
          <w:rFonts w:ascii="Times New Roman" w:hAnsi="Times New Roman"/>
          <w:sz w:val="24"/>
          <w:szCs w:val="24"/>
        </w:rPr>
        <w:t xml:space="preserve"> keinen mit der gesetzlichen Kontrolle des Jahresabschlusses unvereinbaren Auftrag ausgeführt, und unsere Prüfungsgesellschaft ist während der Abwicklung unseres Mandats gegenüber der Gesellschaft unabhängig geblieben. </w:t>
      </w:r>
    </w:p>
    <w:p w:rsidR="00E90EC5" w:rsidRDefault="00E90EC5" w:rsidP="00E90EC5">
      <w:pPr>
        <w:numPr>
          <w:ilvl w:val="0"/>
          <w:numId w:val="1"/>
        </w:numPr>
        <w:spacing w:after="0"/>
        <w:jc w:val="both"/>
        <w:rPr>
          <w:rFonts w:ascii="Times New Roman" w:hAnsi="Times New Roman"/>
          <w:sz w:val="24"/>
          <w:szCs w:val="24"/>
        </w:rPr>
      </w:pPr>
      <w:r>
        <w:rPr>
          <w:rFonts w:ascii="Times New Roman" w:hAnsi="Times New Roman"/>
          <w:i/>
          <w:sz w:val="24"/>
          <w:szCs w:val="24"/>
          <w:highlight w:val="lightGray"/>
        </w:rPr>
        <w:t>[Treffen Sie eine Wahl:</w:t>
      </w:r>
      <w:r>
        <w:rPr>
          <w:rFonts w:ascii="Times New Roman" w:hAnsi="Times New Roman"/>
          <w:sz w:val="24"/>
          <w:szCs w:val="24"/>
          <w:highlight w:val="lightGray"/>
        </w:rPr>
        <w:t xml:space="preserve"> </w:t>
      </w:r>
    </w:p>
    <w:p w:rsidR="00E90EC5"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Es gab keine mit der gesetzlichen Kontrolle des Jahresabschlusses gemäß Artikel 134 des Gesellschaftsgesetzbuchs zu vereinbarenden zusätzlichen Aufträge, die Gegenstand von Honorarzahlungen waren.</w:t>
      </w:r>
    </w:p>
    <w:p w:rsidR="00E90EC5" w:rsidRPr="007E0CBB" w:rsidRDefault="00E90EC5" w:rsidP="00E90EC5">
      <w:pPr>
        <w:spacing w:after="0"/>
        <w:ind w:left="1080"/>
        <w:jc w:val="both"/>
        <w:rPr>
          <w:rFonts w:ascii="Times New Roman" w:hAnsi="Times New Roman"/>
          <w:sz w:val="24"/>
          <w:szCs w:val="24"/>
        </w:rPr>
      </w:pPr>
      <w:r>
        <w:rPr>
          <w:rFonts w:ascii="Times New Roman" w:hAnsi="Times New Roman"/>
          <w:sz w:val="24"/>
          <w:szCs w:val="24"/>
        </w:rPr>
        <w:t>ODER</w:t>
      </w:r>
    </w:p>
    <w:p w:rsidR="00E90EC5"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Die Honorare für die mit der gesetzlichen Kontrolle des Jahresabschlusses gemäß Artikel 134 des Gesellschaftsgesetzbuchs zu vereinbarenden zusätzlichen Aufträge wurden im Anhang zum Jahresabschluss korrekt aufgeschlüsselt und bewertet.</w:t>
      </w:r>
    </w:p>
    <w:p w:rsidR="00E90EC5" w:rsidRPr="00D830F3" w:rsidRDefault="00E90EC5" w:rsidP="00E90EC5">
      <w:pPr>
        <w:pStyle w:val="Lijstalinea"/>
        <w:spacing w:after="0"/>
        <w:ind w:firstLine="360"/>
        <w:jc w:val="both"/>
        <w:rPr>
          <w:rFonts w:ascii="Times New Roman" w:hAnsi="Times New Roman"/>
          <w:sz w:val="24"/>
          <w:szCs w:val="24"/>
        </w:rPr>
      </w:pPr>
      <w:r w:rsidRPr="00D830F3">
        <w:rPr>
          <w:rFonts w:ascii="Times New Roman" w:hAnsi="Times New Roman"/>
          <w:sz w:val="24"/>
          <w:szCs w:val="24"/>
        </w:rPr>
        <w:t>ODER</w:t>
      </w:r>
    </w:p>
    <w:p w:rsidR="00E90EC5" w:rsidRPr="007E0CBB" w:rsidRDefault="00E90EC5" w:rsidP="00E90EC5">
      <w:pPr>
        <w:numPr>
          <w:ilvl w:val="0"/>
          <w:numId w:val="1"/>
        </w:numPr>
        <w:spacing w:after="0"/>
        <w:ind w:left="1080"/>
        <w:jc w:val="both"/>
        <w:rPr>
          <w:rFonts w:ascii="Times New Roman" w:hAnsi="Times New Roman"/>
          <w:sz w:val="24"/>
          <w:szCs w:val="24"/>
        </w:rPr>
      </w:pPr>
      <w:r>
        <w:rPr>
          <w:rFonts w:ascii="Times New Roman" w:hAnsi="Times New Roman"/>
          <w:sz w:val="24"/>
          <w:szCs w:val="24"/>
        </w:rPr>
        <w:t>Da die Gesellschaft die Honorare für die mit der gesetzlichen Kontrolle des Jahresabschlusses gemäß Artikel 134 des Gesellschaftsgesetzbuchs zu vereinbarenden zusätzlichen Aufträge nicht [</w:t>
      </w:r>
      <w:r>
        <w:rPr>
          <w:rFonts w:ascii="Times New Roman" w:hAnsi="Times New Roman"/>
          <w:sz w:val="24"/>
          <w:szCs w:val="24"/>
          <w:highlight w:val="lightGray"/>
        </w:rPr>
        <w:t>korrekt</w:t>
      </w:r>
      <w:r>
        <w:rPr>
          <w:rFonts w:ascii="Times New Roman" w:hAnsi="Times New Roman"/>
          <w:sz w:val="24"/>
          <w:szCs w:val="24"/>
        </w:rPr>
        <w:t>] im Anhang zum Jahresabschluss angegeben hat, weisen wir Sie darauf hin, dass sie wie folgt bewertet und/oder aufgeschlüsselt werden sollten [</w:t>
      </w:r>
      <w:r>
        <w:rPr>
          <w:rFonts w:ascii="Times New Roman" w:hAnsi="Times New Roman"/>
          <w:sz w:val="24"/>
          <w:szCs w:val="24"/>
          <w:highlight w:val="lightGray"/>
        </w:rPr>
        <w:t>Verknüpfung mit Jahresabschluss</w:t>
      </w:r>
      <w:r>
        <w:rPr>
          <w:rFonts w:ascii="Times New Roman" w:hAnsi="Times New Roman"/>
          <w:sz w:val="24"/>
          <w:szCs w:val="24"/>
        </w:rPr>
        <w:t>] [</w:t>
      </w:r>
      <w:r>
        <w:rPr>
          <w:rFonts w:ascii="Times New Roman" w:hAnsi="Times New Roman"/>
          <w:sz w:val="24"/>
          <w:szCs w:val="24"/>
          <w:highlight w:val="lightGray"/>
        </w:rPr>
        <w:t>Auftragsart</w:t>
      </w:r>
      <w:r>
        <w:rPr>
          <w:rFonts w:ascii="Times New Roman" w:hAnsi="Times New Roman"/>
          <w:sz w:val="24"/>
          <w:szCs w:val="24"/>
        </w:rPr>
        <w:t>] EUR [</w:t>
      </w:r>
      <w:r>
        <w:rPr>
          <w:rFonts w:ascii="Times New Roman" w:hAnsi="Times New Roman"/>
          <w:sz w:val="24"/>
          <w:szCs w:val="24"/>
          <w:highlight w:val="lightGray"/>
        </w:rPr>
        <w:t>Beträge</w:t>
      </w:r>
      <w:r>
        <w:rPr>
          <w:rFonts w:ascii="Times New Roman" w:hAnsi="Times New Roman"/>
          <w:sz w:val="24"/>
          <w:szCs w:val="24"/>
        </w:rPr>
        <w:t>].]</w:t>
      </w:r>
    </w:p>
    <w:p w:rsidR="00E90EC5" w:rsidRPr="007E0CBB" w:rsidRDefault="00E90EC5" w:rsidP="00E90EC5">
      <w:pPr>
        <w:spacing w:after="0"/>
        <w:rPr>
          <w:rFonts w:ascii="Times New Roman" w:hAnsi="Times New Roman"/>
          <w:sz w:val="24"/>
          <w:szCs w:val="24"/>
        </w:rPr>
      </w:pPr>
    </w:p>
    <w:p w:rsidR="00E90EC5" w:rsidRPr="007E0CBB" w:rsidRDefault="00E90EC5" w:rsidP="00E90EC5">
      <w:pPr>
        <w:keepNext/>
        <w:keepLines/>
        <w:spacing w:before="40" w:after="0" w:line="360" w:lineRule="auto"/>
        <w:outlineLvl w:val="2"/>
        <w:rPr>
          <w:rFonts w:asciiTheme="majorHAnsi" w:eastAsiaTheme="majorEastAsia" w:hAnsiTheme="majorHAnsi" w:cstheme="majorBidi"/>
          <w:b/>
          <w:i/>
          <w:color w:val="365F91" w:themeColor="accent1" w:themeShade="BF"/>
          <w:sz w:val="24"/>
          <w:szCs w:val="24"/>
        </w:rPr>
      </w:pPr>
      <w:bookmarkStart w:id="24" w:name="_Toc501021541"/>
      <w:bookmarkStart w:id="25" w:name="_Toc505264889"/>
      <w:r>
        <w:rPr>
          <w:rFonts w:asciiTheme="majorHAnsi" w:hAnsiTheme="majorHAnsi"/>
          <w:b/>
          <w:i/>
          <w:color w:val="365F91" w:themeColor="accent1" w:themeShade="BF"/>
          <w:sz w:val="24"/>
          <w:szCs w:val="24"/>
        </w:rPr>
        <w:t>Sonstige Angaben</w:t>
      </w:r>
      <w:bookmarkEnd w:id="24"/>
      <w:bookmarkEnd w:id="25"/>
    </w:p>
    <w:p w:rsidR="00E90EC5" w:rsidRPr="00975430" w:rsidRDefault="00E90EC5" w:rsidP="00E90EC5">
      <w:pPr>
        <w:spacing w:after="0" w:line="240" w:lineRule="auto"/>
        <w:jc w:val="both"/>
        <w:rPr>
          <w:rFonts w:ascii="Times New Roman" w:hAnsi="Times New Roman"/>
          <w:sz w:val="24"/>
          <w:szCs w:val="24"/>
        </w:rPr>
      </w:pPr>
    </w:p>
    <w:p w:rsidR="00E90EC5" w:rsidRPr="00737C33" w:rsidRDefault="00E90EC5" w:rsidP="00E90EC5">
      <w:pPr>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Abgesehen von formellen Aspekten geringfügiger Art erfolgte die Buchführung gemäß den in Belgien gültigen gesetzlichen Bestimmungen und Vorschriften.</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sz w:val="24"/>
          <w:szCs w:val="24"/>
        </w:rPr>
        <w:lastRenderedPageBreak/>
        <w:t>Der Ergebnisverwendungsvorschlag an die Generalversammlung entspricht den gesetzlichen Bestimmungen und der Satzung.</w:t>
      </w:r>
    </w:p>
    <w:p w:rsidR="00E90EC5" w:rsidRPr="00737C33" w:rsidRDefault="00E90EC5" w:rsidP="00E90EC5">
      <w:pPr>
        <w:pStyle w:val="Lijstalinea"/>
        <w:numPr>
          <w:ilvl w:val="0"/>
          <w:numId w:val="1"/>
        </w:numPr>
        <w:tabs>
          <w:tab w:val="left"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Des Weiteren haben wir Ihnen keine Aktivitäten oder Beschlüsse mitzuteilen, die als Verstoß gegen die Satzung oder das Gesellschaftsgesetzbuch zu werten wären. </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i/>
          <w:sz w:val="24"/>
          <w:szCs w:val="24"/>
          <w:highlight w:val="lightGray"/>
        </w:rPr>
        <w:t>Wenn zutreffend</w:t>
      </w:r>
      <w:r>
        <w:rPr>
          <w:rFonts w:ascii="Times New Roman" w:hAnsi="Times New Roman"/>
          <w:sz w:val="24"/>
          <w:szCs w:val="24"/>
        </w:rPr>
        <w:t xml:space="preserve">: </w:t>
      </w:r>
      <w:r>
        <w:rPr>
          <w:rFonts w:ascii="Times New Roman" w:hAnsi="Times New Roman"/>
          <w:bCs/>
          <w:sz w:val="24"/>
          <w:szCs w:val="24"/>
        </w:rPr>
        <w:t>Der Beschluss des geschäftsführenden Organs vom [</w:t>
      </w:r>
      <w:r>
        <w:rPr>
          <w:rFonts w:ascii="Times New Roman" w:hAnsi="Times New Roman"/>
          <w:bCs/>
          <w:sz w:val="24"/>
          <w:szCs w:val="24"/>
          <w:highlight w:val="lightGray"/>
        </w:rPr>
        <w:t>Datum</w:t>
      </w:r>
      <w:r>
        <w:rPr>
          <w:rFonts w:ascii="Times New Roman" w:hAnsi="Times New Roman"/>
          <w:bCs/>
          <w:sz w:val="24"/>
          <w:szCs w:val="24"/>
        </w:rPr>
        <w:t>] über [</w:t>
      </w:r>
      <w:r>
        <w:rPr>
          <w:rFonts w:ascii="Times New Roman" w:hAnsi="Times New Roman"/>
          <w:bCs/>
          <w:sz w:val="24"/>
          <w:szCs w:val="24"/>
          <w:highlight w:val="lightGray"/>
        </w:rPr>
        <w:t>Verweis auf einen Interessenkonflikt oder andere diesbezüglich im Lagebericht aufgenommene Informationen</w:t>
      </w:r>
      <w:r>
        <w:rPr>
          <w:rFonts w:ascii="Times New Roman" w:hAnsi="Times New Roman"/>
          <w:bCs/>
          <w:sz w:val="24"/>
          <w:szCs w:val="24"/>
        </w:rPr>
        <w:t>] hat folgende vermögensrechtliche Konsequenzen: [</w:t>
      </w:r>
      <w:r>
        <w:rPr>
          <w:rFonts w:ascii="Times New Roman" w:hAnsi="Times New Roman"/>
          <w:bCs/>
          <w:sz w:val="24"/>
          <w:szCs w:val="24"/>
          <w:highlight w:val="lightGray"/>
        </w:rPr>
        <w:t>…</w:t>
      </w:r>
      <w:r>
        <w:rPr>
          <w:rFonts w:ascii="Times New Roman" w:hAnsi="Times New Roman"/>
          <w:bCs/>
          <w:sz w:val="24"/>
          <w:szCs w:val="24"/>
        </w:rPr>
        <w:t>].</w:t>
      </w:r>
      <w:r>
        <w:rPr>
          <w:rFonts w:ascii="Times New Roman" w:hAnsi="Times New Roman"/>
          <w:sz w:val="24"/>
          <w:szCs w:val="24"/>
        </w:rPr>
        <w:t xml:space="preserve"> </w:t>
      </w:r>
    </w:p>
    <w:p w:rsidR="00E90EC5" w:rsidRPr="00737C33" w:rsidRDefault="00E90EC5" w:rsidP="00E90EC5">
      <w:pPr>
        <w:pStyle w:val="Lijstalinea"/>
        <w:numPr>
          <w:ilvl w:val="0"/>
          <w:numId w:val="1"/>
        </w:numPr>
        <w:tabs>
          <w:tab w:val="left" w:pos="426"/>
        </w:tabs>
        <w:spacing w:line="240" w:lineRule="auto"/>
        <w:ind w:left="425" w:hanging="425"/>
        <w:jc w:val="both"/>
        <w:rPr>
          <w:rFonts w:ascii="Times New Roman" w:hAnsi="Times New Roman"/>
          <w:sz w:val="24"/>
          <w:szCs w:val="24"/>
        </w:rPr>
      </w:pPr>
      <w:r>
        <w:rPr>
          <w:rFonts w:ascii="Times New Roman" w:hAnsi="Times New Roman"/>
          <w:i/>
          <w:sz w:val="24"/>
          <w:szCs w:val="24"/>
          <w:highlight w:val="lightGray"/>
        </w:rPr>
        <w:t>Wenn zutreffend</w:t>
      </w:r>
      <w:r>
        <w:rPr>
          <w:rFonts w:ascii="Times New Roman" w:hAnsi="Times New Roman"/>
          <w:sz w:val="24"/>
          <w:szCs w:val="24"/>
          <w:highlight w:val="lightGray"/>
        </w:rPr>
        <w:t>:</w:t>
      </w:r>
      <w:r>
        <w:rPr>
          <w:rFonts w:ascii="Times New Roman" w:hAnsi="Times New Roman"/>
          <w:sz w:val="24"/>
          <w:szCs w:val="24"/>
        </w:rPr>
        <w:t xml:space="preserve"> Im Laufe des Geschäftsjahres wurde eine Abschlagsdividende vorgenommen; diesbezüglich haben wir einen Bericht erstellt, der gemäß den gesetzlichen Bestimmungen im Anhang beiliegt.</w:t>
      </w:r>
    </w:p>
    <w:p w:rsidR="00E90EC5" w:rsidRPr="00737C33" w:rsidRDefault="00E90EC5" w:rsidP="00E90EC5">
      <w:pPr>
        <w:spacing w:after="0" w:line="240" w:lineRule="auto"/>
        <w:jc w:val="both"/>
        <w:rPr>
          <w:rFonts w:ascii="Times New Roman" w:hAnsi="Times New Roman"/>
          <w:sz w:val="24"/>
          <w:szCs w:val="24"/>
        </w:rPr>
      </w:pPr>
    </w:p>
    <w:p w:rsidR="00E90EC5" w:rsidRPr="00737C33" w:rsidRDefault="00E90EC5" w:rsidP="00E90EC5">
      <w:pPr>
        <w:spacing w:after="0" w:line="240" w:lineRule="auto"/>
        <w:jc w:val="both"/>
        <w:rPr>
          <w:rFonts w:ascii="Times New Roman" w:hAnsi="Times New Roman"/>
          <w:sz w:val="24"/>
          <w:szCs w:val="24"/>
        </w:rPr>
      </w:pPr>
      <w:r>
        <w:rPr>
          <w:rFonts w:ascii="Times New Roman" w:hAnsi="Times New Roman"/>
          <w:sz w:val="24"/>
          <w:szCs w:val="24"/>
        </w:rPr>
        <w:t>Ort, Datum und Unterschrift</w:t>
      </w:r>
    </w:p>
    <w:p w:rsidR="00E90EC5" w:rsidRDefault="00E90EC5" w:rsidP="00E90EC5">
      <w:pPr>
        <w:spacing w:after="0" w:line="240" w:lineRule="auto"/>
        <w:jc w:val="both"/>
        <w:rPr>
          <w:rFonts w:ascii="Times New Roman" w:hAnsi="Times New Roman"/>
          <w:sz w:val="24"/>
          <w:szCs w:val="24"/>
        </w:rPr>
      </w:pP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Prüfungsgesellschaft XYZ</w:t>
      </w:r>
    </w:p>
    <w:p w:rsidR="00E90EC5" w:rsidRDefault="00E90EC5" w:rsidP="00E90EC5">
      <w:pPr>
        <w:spacing w:after="0" w:line="240" w:lineRule="auto"/>
        <w:jc w:val="both"/>
        <w:rPr>
          <w:rFonts w:ascii="Times New Roman" w:hAnsi="Times New Roman"/>
          <w:sz w:val="24"/>
          <w:szCs w:val="24"/>
        </w:rPr>
      </w:pPr>
      <w:r>
        <w:rPr>
          <w:rFonts w:ascii="Times New Roman" w:hAnsi="Times New Roman"/>
          <w:sz w:val="24"/>
          <w:szCs w:val="24"/>
        </w:rPr>
        <w:t>Kommissar</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 xml:space="preserve">Vertreten durch  </w:t>
      </w:r>
    </w:p>
    <w:p w:rsidR="00E90EC5" w:rsidRPr="00615B30" w:rsidRDefault="00E90EC5" w:rsidP="00E90EC5">
      <w:pPr>
        <w:spacing w:after="0" w:line="240" w:lineRule="auto"/>
        <w:jc w:val="both"/>
        <w:rPr>
          <w:rFonts w:ascii="Times New Roman" w:hAnsi="Times New Roman"/>
          <w:i/>
          <w:sz w:val="24"/>
          <w:szCs w:val="24"/>
        </w:rPr>
      </w:pP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Name</w:t>
      </w:r>
    </w:p>
    <w:p w:rsidR="00E90EC5" w:rsidRPr="00615B30" w:rsidRDefault="00E90EC5" w:rsidP="00E90EC5">
      <w:pPr>
        <w:spacing w:after="0" w:line="240" w:lineRule="auto"/>
        <w:jc w:val="both"/>
        <w:rPr>
          <w:rFonts w:ascii="Times New Roman" w:hAnsi="Times New Roman"/>
          <w:sz w:val="24"/>
          <w:szCs w:val="24"/>
        </w:rPr>
      </w:pPr>
      <w:r>
        <w:rPr>
          <w:rFonts w:ascii="Times New Roman" w:hAnsi="Times New Roman"/>
          <w:sz w:val="24"/>
          <w:szCs w:val="24"/>
        </w:rPr>
        <w:t>Wirtschaftsprüfer</w:t>
      </w:r>
    </w:p>
    <w:bookmarkEnd w:id="0"/>
    <w:bookmarkEnd w:id="1"/>
    <w:p w:rsidR="00E90EC5" w:rsidRDefault="00E90EC5" w:rsidP="00E90EC5">
      <w:pPr>
        <w:tabs>
          <w:tab w:val="left" w:pos="2100"/>
        </w:tabs>
        <w:spacing w:after="0" w:line="240" w:lineRule="auto"/>
        <w:jc w:val="both"/>
      </w:pPr>
      <w:r>
        <w:rPr>
          <w:rFonts w:ascii="Times New Roman" w:hAnsi="Times New Roman"/>
          <w:sz w:val="24"/>
          <w:szCs w:val="24"/>
        </w:rPr>
        <w:tab/>
      </w:r>
    </w:p>
    <w:p w:rsidR="00E90EC5" w:rsidRDefault="00E90EC5" w:rsidP="00E90EC5"/>
    <w:p w:rsidR="00A053EC" w:rsidRDefault="00A053EC"/>
    <w:sectPr w:rsidR="00A053E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210" w:rsidRDefault="00607210" w:rsidP="00E90EC5">
      <w:pPr>
        <w:spacing w:after="0" w:line="240" w:lineRule="auto"/>
      </w:pPr>
      <w:r>
        <w:separator/>
      </w:r>
    </w:p>
  </w:endnote>
  <w:endnote w:type="continuationSeparator" w:id="0">
    <w:p w:rsidR="00607210" w:rsidRDefault="00607210" w:rsidP="00E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210" w:rsidRDefault="00607210" w:rsidP="00E90EC5">
      <w:pPr>
        <w:spacing w:after="0" w:line="240" w:lineRule="auto"/>
      </w:pPr>
      <w:r>
        <w:separator/>
      </w:r>
    </w:p>
  </w:footnote>
  <w:footnote w:type="continuationSeparator" w:id="0">
    <w:p w:rsidR="00607210" w:rsidRDefault="00607210" w:rsidP="00E90EC5">
      <w:pPr>
        <w:spacing w:after="0" w:line="240" w:lineRule="auto"/>
      </w:pPr>
      <w:r>
        <w:continuationSeparator/>
      </w:r>
    </w:p>
  </w:footnote>
  <w:footnote w:id="1">
    <w:p w:rsidR="00CF6D72" w:rsidRPr="00F42098" w:rsidRDefault="00CF6D72" w:rsidP="00CF6D72">
      <w:pPr>
        <w:pStyle w:val="Voetnoottekst"/>
        <w:jc w:val="both"/>
      </w:pPr>
      <w:r>
        <w:rPr>
          <w:rStyle w:val="Voetnootmarkering"/>
          <w:rFonts w:eastAsia="Calibri"/>
        </w:rPr>
        <w:footnoteRef/>
      </w:r>
      <w:r>
        <w:t xml:space="preserve"> Applies to all entities to which the Law of 27 June 1921 on non-profit organisations, foundations, European political parties and European political foundations applies.</w:t>
      </w:r>
    </w:p>
  </w:footnote>
  <w:footnote w:id="2">
    <w:p w:rsidR="00E90EC5" w:rsidRPr="00550EC5" w:rsidRDefault="00E90EC5" w:rsidP="00E90EC5">
      <w:pPr>
        <w:pStyle w:val="Voetnoottekst"/>
        <w:jc w:val="both"/>
      </w:pPr>
      <w:r>
        <w:rPr>
          <w:rStyle w:val="Voetnootmarkering"/>
          <w:rFonts w:eastAsia="Calibri"/>
        </w:rPr>
        <w:footnoteRef/>
      </w:r>
      <w:r>
        <w:t xml:space="preserve"> </w:t>
      </w:r>
      <w:r>
        <w:rPr>
          <w:highlight w:val="lightGray"/>
        </w:rPr>
        <w:t>Wenn zutreffend, wie folgt anpassen</w:t>
      </w:r>
      <w:r>
        <w:t xml:space="preserve">: </w:t>
      </w:r>
      <w:r>
        <w:rPr>
          <w:i/>
        </w:rPr>
        <w:t>„Ausgestellt auf Empfehlung des Rechnungsprüfungsausschusses und auf Vorlage des Betriebsrats.“</w:t>
      </w:r>
    </w:p>
  </w:footnote>
  <w:footnote w:id="3">
    <w:p w:rsidR="00E90EC5" w:rsidRPr="00550EC5" w:rsidRDefault="00E90EC5" w:rsidP="00E90EC5">
      <w:pPr>
        <w:pStyle w:val="Voetnoottekst"/>
        <w:jc w:val="both"/>
        <w:rPr>
          <w:i/>
        </w:rPr>
      </w:pPr>
      <w:r>
        <w:rPr>
          <w:rStyle w:val="Voetnootmarkering"/>
          <w:rFonts w:eastAsia="Calibri"/>
        </w:rPr>
        <w:footnoteRef/>
      </w:r>
      <w:r>
        <w:t xml:space="preserve"> </w:t>
      </w:r>
      <w:r>
        <w:rPr>
          <w:highlight w:val="lightGray"/>
        </w:rPr>
        <w:t>Falls es nicht möglich ist, das erste Jahr des Mandats exakt festzustellen, wobei unter Umständen bis vor 1997 zurückzugehen ist, ggf. die Schwierigkeiten bei der Rückverfolgung der genauen Aufzeichnungen über das Datum der ersten Ernennung erwähnen und den Satz wie folgt anpassen</w:t>
      </w:r>
      <w:r>
        <w:t xml:space="preserve">: </w:t>
      </w:r>
      <w:r>
        <w:rPr>
          <w:i/>
        </w:rPr>
        <w:t>„Wir sind seit mindestens [XX] Jahren als Kommissar bestellt.“</w:t>
      </w:r>
    </w:p>
  </w:footnote>
  <w:footnote w:id="4">
    <w:p w:rsidR="00E90EC5" w:rsidRPr="00ED0420" w:rsidRDefault="00E90EC5" w:rsidP="00E90EC5">
      <w:pPr>
        <w:pStyle w:val="Voetnoottekst"/>
        <w:jc w:val="both"/>
      </w:pPr>
      <w:r>
        <w:t>[</w:t>
      </w:r>
      <w:r>
        <w:rPr>
          <w:rStyle w:val="Voetnootmarkering"/>
          <w:rFonts w:eastAsia="Calibri"/>
        </w:rPr>
        <w:footnoteRef/>
      </w:r>
      <w:r>
        <w:t xml:space="preserve"> Bei den „sonstigen im Jahresbericht enthaltenen Informationen“ handelt es sich je nach Fall um Kommentare des Vorstands, eine operative und finanzielle Überprüfung oder um andere vergleichbare Berichte, die vom geschäftsführenden Organ stammen, oder um eine Erklärung des Vorsitzenden der Einheit (vgl. Abs. A3 der Norm ISA 720 (überarbeitet)). In Belgien können Inhalt und Bezeichnung des Jahresberichts je nach Sektor, Einheiten oder jeweiliger Praxis variieren (z. B. Einheiten, die Aufkommens- und Verwendungstabellen verwenden). Damit für den Leser des Berichts eindeutig erkennbar ist, welche Dokumente für die Arbeit des Kommissars verwendet wurden, ist es wichtig, dass sie explizit in seinem Bericht aufgeführt werden.</w:t>
      </w:r>
    </w:p>
    <w:p w:rsidR="00E90EC5" w:rsidRPr="00550EC5" w:rsidRDefault="00E90EC5" w:rsidP="00E90EC5">
      <w:pPr>
        <w:pStyle w:val="Voetnoottekst"/>
        <w:jc w:val="both"/>
      </w:pPr>
      <w:r>
        <w:t>Unbeschadet des Nachstehenden verweist Absatz A5 der Norm ISA 720 (überarbeitet) auf Beispiele von Berichten, die, wenn sie als eigenständige Dokumente veröffentlicht werden, im Allgemeinen nicht Teil der „sonstigen im Jahresbericht enthaltenen Informationen“ sind, wie beispielsweise: unterschiedliche sektorspezifische und vorgeschriebene Berichte (z. B. Berichte über die Kapitaläquivalenz), Berichte in den Bereichen Banken, Versicherungen und Altersvorsorge; Berichte über die soziale Verantwortung von Unternehmen; Berichte über nachhaltige Entwicklung; Berichte zu Vielfalt und Chancengleichheit; Berichte zur Produkthaftung; Berichte über Arbeitsmethoden und -bedingungen; Menschenrechtsberichte.]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C5"/>
    <w:rsid w:val="00067A97"/>
    <w:rsid w:val="004C7C52"/>
    <w:rsid w:val="00607210"/>
    <w:rsid w:val="00840FB9"/>
    <w:rsid w:val="009E7257"/>
    <w:rsid w:val="00A053EC"/>
    <w:rsid w:val="00CF6D72"/>
    <w:rsid w:val="00DC7B21"/>
    <w:rsid w:val="00E90EC5"/>
    <w:rsid w:val="00FA3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90EC5"/>
    <w:rPr>
      <w:rFonts w:ascii="Calibri" w:eastAsia="Calibri" w:hAnsi="Calibri" w:cs="Times New Roman"/>
      <w:lang w:val="de-DE"/>
    </w:rPr>
  </w:style>
  <w:style w:type="paragraph" w:styleId="Kop2">
    <w:name w:val="heading 2"/>
    <w:basedOn w:val="Standaard"/>
    <w:next w:val="Standaard"/>
    <w:link w:val="Kop2Char"/>
    <w:unhideWhenUsed/>
    <w:qFormat/>
    <w:rsid w:val="00E90EC5"/>
    <w:pPr>
      <w:keepNext/>
      <w:keepLines/>
      <w:spacing w:before="200" w:after="0" w:line="360" w:lineRule="auto"/>
      <w:jc w:val="both"/>
      <w:outlineLvl w:val="1"/>
    </w:pPr>
    <w:rPr>
      <w:rFonts w:asciiTheme="majorHAnsi" w:eastAsiaTheme="majorEastAsia" w:hAnsiTheme="majorHAnsi" w:cstheme="majorBidi"/>
      <w:b/>
      <w:bCs/>
      <w:color w:val="365F91" w:themeColor="accent1" w:themeShade="BF"/>
      <w:sz w:val="26"/>
      <w:szCs w:val="2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90EC5"/>
    <w:rPr>
      <w:rFonts w:asciiTheme="majorHAnsi" w:eastAsiaTheme="majorEastAsia" w:hAnsiTheme="majorHAnsi" w:cstheme="majorBidi"/>
      <w:b/>
      <w:bCs/>
      <w:color w:val="365F91" w:themeColor="accent1" w:themeShade="BF"/>
      <w:sz w:val="26"/>
      <w:szCs w:val="26"/>
      <w:lang w:val="en-GB" w:eastAsia="en-GB"/>
    </w:rPr>
  </w:style>
  <w:style w:type="paragraph" w:styleId="Lijstalinea">
    <w:name w:val="List Paragraph"/>
    <w:basedOn w:val="Standaard"/>
    <w:uiPriority w:val="34"/>
    <w:qFormat/>
    <w:rsid w:val="00E90EC5"/>
    <w:pPr>
      <w:ind w:left="720"/>
      <w:contextualSpacing/>
    </w:p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E90EC5"/>
    <w:rPr>
      <w:vertAlign w:val="superscript"/>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qFormat/>
    <w:rsid w:val="00E90EC5"/>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E90EC5"/>
    <w:rPr>
      <w:rFonts w:ascii="Times New Roman" w:eastAsia="Times New Roman" w:hAnsi="Times New Roman" w:cs="Times New Roman"/>
      <w:sz w:val="20"/>
      <w:szCs w:val="20"/>
      <w:lang w:val="de-DE" w:eastAsia="nl-NL"/>
    </w:rPr>
  </w:style>
  <w:style w:type="paragraph" w:customStyle="1" w:styleId="Default">
    <w:name w:val="Default"/>
    <w:rsid w:val="00E90EC5"/>
    <w:pPr>
      <w:autoSpaceDE w:val="0"/>
      <w:autoSpaceDN w:val="0"/>
      <w:adjustRightInd w:val="0"/>
      <w:spacing w:after="0" w:line="240" w:lineRule="auto"/>
    </w:pPr>
    <w:rPr>
      <w:rFonts w:ascii="Times New Roman" w:hAnsi="Times New Roman" w:cs="Times New Roman"/>
      <w:color w:val="000000"/>
      <w:sz w:val="24"/>
      <w:szCs w:val="24"/>
      <w:lang w:val="de-DE"/>
    </w:rPr>
  </w:style>
  <w:style w:type="paragraph" w:styleId="Koptekst">
    <w:name w:val="header"/>
    <w:basedOn w:val="Standaard"/>
    <w:link w:val="KoptekstChar"/>
    <w:uiPriority w:val="99"/>
    <w:unhideWhenUsed/>
    <w:rsid w:val="00FA3C7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A3C78"/>
    <w:rPr>
      <w:rFonts w:ascii="Calibri" w:eastAsia="Calibri" w:hAnsi="Calibri" w:cs="Times New Roman"/>
      <w:lang w:val="de-DE"/>
    </w:rPr>
  </w:style>
  <w:style w:type="paragraph" w:styleId="Voettekst">
    <w:name w:val="footer"/>
    <w:basedOn w:val="Standaard"/>
    <w:link w:val="VoettekstChar"/>
    <w:uiPriority w:val="99"/>
    <w:unhideWhenUsed/>
    <w:rsid w:val="00FA3C7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A3C78"/>
    <w:rPr>
      <w:rFonts w:ascii="Calibri" w:eastAsia="Calibri" w:hAnsi="Calibri" w:cs="Times New Roman"/>
      <w:lang w:val="de-DE"/>
    </w:rPr>
  </w:style>
  <w:style w:type="paragraph" w:styleId="Ballontekst">
    <w:name w:val="Balloon Text"/>
    <w:basedOn w:val="Standaard"/>
    <w:link w:val="BallontekstChar"/>
    <w:uiPriority w:val="99"/>
    <w:semiHidden/>
    <w:unhideWhenUsed/>
    <w:rsid w:val="00840F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FB9"/>
    <w:rPr>
      <w:rFonts w:ascii="Segoe UI" w:eastAsia="Calibr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8779C-A40D-4ED3-B539-4D0DB68E1BBD}"/>
</file>

<file path=customXml/itemProps2.xml><?xml version="1.0" encoding="utf-8"?>
<ds:datastoreItem xmlns:ds="http://schemas.openxmlformats.org/officeDocument/2006/customXml" ds:itemID="{715DB442-3D30-4703-AB89-D16CDD43BA1D}"/>
</file>

<file path=customXml/itemProps3.xml><?xml version="1.0" encoding="utf-8"?>
<ds:datastoreItem xmlns:ds="http://schemas.openxmlformats.org/officeDocument/2006/customXml" ds:itemID="{BB7D0A9F-AE63-471B-92A3-AB779D14301B}"/>
</file>

<file path=customXml/itemProps4.xml><?xml version="1.0" encoding="utf-8"?>
<ds:datastoreItem xmlns:ds="http://schemas.openxmlformats.org/officeDocument/2006/customXml" ds:itemID="{7A4AC21E-0038-4EE8-BAF7-06630DE781AA}"/>
</file>

<file path=customXml/itemProps5.xml><?xml version="1.0" encoding="utf-8"?>
<ds:datastoreItem xmlns:ds="http://schemas.openxmlformats.org/officeDocument/2006/customXml" ds:itemID="{D8440F43-9353-469E-8DAE-4301F2ACABA1}"/>
</file>

<file path=docProps/app.xml><?xml version="1.0" encoding="utf-8"?>
<Properties xmlns="http://schemas.openxmlformats.org/officeDocument/2006/extended-properties" xmlns:vt="http://schemas.openxmlformats.org/officeDocument/2006/docPropsVTypes">
  <Template>Normal.dotm</Template>
  <TotalTime>0</TotalTime>
  <Pages>8</Pages>
  <Words>2345</Words>
  <Characters>12903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2018-03-14T08:45:00Z</dcterms:created>
  <dcterms:modified xsi:type="dcterms:W3CDTF">2018-03-14T08:45:00Z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