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C87C" w14:textId="77777777" w:rsidR="00BE6C22" w:rsidRPr="002B72CF" w:rsidRDefault="00BE6C22" w:rsidP="00BE6C22">
      <w:pPr>
        <w:tabs>
          <w:tab w:val="left" w:pos="4253"/>
        </w:tabs>
        <w:rPr>
          <w:lang w:val="nl-BE"/>
        </w:rPr>
      </w:pPr>
      <w:r>
        <w:rPr>
          <w:lang w:val="nl-BE"/>
        </w:rPr>
        <w:t>$NAAM KLANT$</w:t>
      </w:r>
    </w:p>
    <w:p w14:paraId="0B00FD57" w14:textId="77777777" w:rsidR="00BE6C22" w:rsidRDefault="00BE6C22" w:rsidP="00BE6C22">
      <w:pPr>
        <w:tabs>
          <w:tab w:val="left" w:pos="4253"/>
        </w:tabs>
      </w:pPr>
      <w:r>
        <w:t>$STRAAT &amp; NR$</w:t>
      </w:r>
    </w:p>
    <w:p w14:paraId="4003A03D" w14:textId="77777777" w:rsidR="00BE6C22" w:rsidRPr="001C389E" w:rsidRDefault="00BE6C22" w:rsidP="00BE6C22">
      <w:pPr>
        <w:tabs>
          <w:tab w:val="left" w:pos="4253"/>
        </w:tabs>
        <w:rPr>
          <w:spacing w:val="-3"/>
        </w:rPr>
      </w:pPr>
      <w:r>
        <w:t>$POSTCODE$ $WOONPLAATS$</w:t>
      </w:r>
    </w:p>
    <w:p w14:paraId="66270F63" w14:textId="77777777" w:rsidR="00BE6C22" w:rsidRPr="001C389E" w:rsidRDefault="00BE6C22" w:rsidP="00BE6C22">
      <w:pPr>
        <w:tabs>
          <w:tab w:val="left" w:pos="-1440"/>
          <w:tab w:val="left" w:pos="-720"/>
          <w:tab w:val="left" w:pos="1440"/>
          <w:tab w:val="left" w:pos="4320"/>
        </w:tabs>
        <w:jc w:val="both"/>
        <w:rPr>
          <w:spacing w:val="-3"/>
        </w:rPr>
      </w:pPr>
    </w:p>
    <w:p w14:paraId="038630E5" w14:textId="77777777" w:rsidR="00BE6C22" w:rsidRDefault="00BE6C22" w:rsidP="00BE6C22">
      <w:pPr>
        <w:tabs>
          <w:tab w:val="left" w:pos="3225"/>
        </w:tabs>
        <w:jc w:val="both"/>
      </w:pPr>
    </w:p>
    <w:p w14:paraId="4E0E7232" w14:textId="77777777" w:rsidR="00BE6C22" w:rsidRDefault="00BE6C22" w:rsidP="00BE6C22">
      <w:pPr>
        <w:tabs>
          <w:tab w:val="left" w:pos="3225"/>
        </w:tabs>
        <w:jc w:val="both"/>
      </w:pPr>
    </w:p>
    <w:p w14:paraId="1B3FBA10" w14:textId="77777777" w:rsidR="00BE6C22" w:rsidRPr="001C389E" w:rsidRDefault="00BE6C22" w:rsidP="00BE6C22">
      <w:r>
        <w:t>$PLAATS$ $DATUM$</w:t>
      </w:r>
    </w:p>
    <w:p w14:paraId="76D1BFBE" w14:textId="77777777" w:rsidR="00BE6C22" w:rsidRDefault="00BE6C22" w:rsidP="00BE6C22">
      <w:pPr>
        <w:tabs>
          <w:tab w:val="left" w:pos="3225"/>
        </w:tabs>
        <w:jc w:val="both"/>
      </w:pPr>
    </w:p>
    <w:p w14:paraId="67B5C43F" w14:textId="77777777" w:rsidR="00BE6C22" w:rsidRDefault="00BE6C22" w:rsidP="00BE6C22">
      <w:pPr>
        <w:tabs>
          <w:tab w:val="left" w:pos="3225"/>
        </w:tabs>
        <w:jc w:val="both"/>
      </w:pPr>
    </w:p>
    <w:p w14:paraId="43369834" w14:textId="77777777" w:rsidR="00BE6C22" w:rsidRDefault="00BE6C22" w:rsidP="00BE6C22">
      <w:pPr>
        <w:tabs>
          <w:tab w:val="left" w:pos="3225"/>
        </w:tabs>
        <w:jc w:val="both"/>
      </w:pPr>
      <w:r>
        <w:t>Geachte,</w:t>
      </w:r>
    </w:p>
    <w:p w14:paraId="2079CB46" w14:textId="77777777" w:rsidR="00BE6C22" w:rsidRDefault="00BE6C22" w:rsidP="00BE6C22">
      <w:pPr>
        <w:tabs>
          <w:tab w:val="left" w:pos="3225"/>
        </w:tabs>
        <w:jc w:val="both"/>
      </w:pPr>
    </w:p>
    <w:p w14:paraId="7B7801BC" w14:textId="77777777" w:rsidR="00BE6C22" w:rsidRDefault="00BE6C22" w:rsidP="00BE6C22">
      <w:pPr>
        <w:tabs>
          <w:tab w:val="left" w:pos="3225"/>
        </w:tabs>
        <w:jc w:val="both"/>
      </w:pPr>
      <w:r>
        <w:t>Deze brief dient ter bevestiging van ons inzicht in de voorwaarden en de doelstellingen van onze opdracht, en in de aard en de beperkingen van de diensten die wij zullen leveren.</w:t>
      </w:r>
    </w:p>
    <w:p w14:paraId="45E78A2C" w14:textId="77777777" w:rsidR="00BE6C22" w:rsidRDefault="00BE6C22" w:rsidP="00BE6C22">
      <w:pPr>
        <w:tabs>
          <w:tab w:val="left" w:pos="3225"/>
        </w:tabs>
        <w:jc w:val="both"/>
      </w:pPr>
    </w:p>
    <w:p w14:paraId="5EACA402" w14:textId="77777777" w:rsidR="00BE6C22" w:rsidRDefault="00BE6C22" w:rsidP="00BE6C22">
      <w:pPr>
        <w:tabs>
          <w:tab w:val="left" w:pos="3225"/>
        </w:tabs>
        <w:jc w:val="both"/>
      </w:pPr>
    </w:p>
    <w:p w14:paraId="201CBB64" w14:textId="77777777" w:rsidR="00BE6C22" w:rsidRPr="00661D38" w:rsidRDefault="00BE6C22" w:rsidP="00BE6C22">
      <w:pPr>
        <w:jc w:val="both"/>
        <w:rPr>
          <w:b/>
          <w:i/>
          <w:lang w:val="nl-BE"/>
        </w:rPr>
      </w:pPr>
      <w:r w:rsidRPr="00661D38">
        <w:rPr>
          <w:b/>
          <w:i/>
          <w:lang w:val="nl-BE"/>
        </w:rPr>
        <w:t>Toepasselijke internationale standaard</w:t>
      </w:r>
    </w:p>
    <w:p w14:paraId="094DBCEE" w14:textId="77777777" w:rsidR="00BE6C22" w:rsidRPr="00661D38" w:rsidRDefault="00BE6C22" w:rsidP="00BE6C22">
      <w:pPr>
        <w:jc w:val="both"/>
        <w:rPr>
          <w:lang w:val="nl-BE"/>
        </w:rPr>
      </w:pPr>
    </w:p>
    <w:p w14:paraId="0655A286" w14:textId="77777777" w:rsidR="00BE6C22" w:rsidRPr="00661D38" w:rsidRDefault="00BE6C22" w:rsidP="00BE6C22">
      <w:pPr>
        <w:jc w:val="both"/>
        <w:rPr>
          <w:lang w:val="nl-BE"/>
        </w:rPr>
      </w:pPr>
      <w:r w:rsidRPr="00661D38">
        <w:rPr>
          <w:lang w:val="nl-BE"/>
        </w:rPr>
        <w:t xml:space="preserve">Onze opdracht zal worden uitgevoerd overeenkomstig de Internationale standaard inzake verwante diensten (International Standard on </w:t>
      </w:r>
      <w:proofErr w:type="spellStart"/>
      <w:r w:rsidRPr="00661D38">
        <w:rPr>
          <w:lang w:val="nl-BE"/>
        </w:rPr>
        <w:t>Related</w:t>
      </w:r>
      <w:proofErr w:type="spellEnd"/>
      <w:r w:rsidRPr="00661D38">
        <w:rPr>
          <w:lang w:val="nl-BE"/>
        </w:rPr>
        <w:t xml:space="preserve"> Services, ISRS</w:t>
      </w:r>
      <w:r>
        <w:rPr>
          <w:lang w:val="nl-BE"/>
        </w:rPr>
        <w:t xml:space="preserve"> 4400</w:t>
      </w:r>
      <w:r w:rsidRPr="00661D38">
        <w:rPr>
          <w:lang w:val="nl-BE"/>
        </w:rPr>
        <w:t xml:space="preserve">) van toepassing op opdrachten tot het uitvoeren van overeengekomen specifieke werkzaamheden, en wij zullen dit ook vermelden in ons rapport.  </w:t>
      </w:r>
    </w:p>
    <w:p w14:paraId="1E489AAA" w14:textId="77777777" w:rsidR="00BE6C22" w:rsidRPr="00661D38" w:rsidRDefault="00BE6C22" w:rsidP="00BE6C22">
      <w:pPr>
        <w:jc w:val="both"/>
        <w:rPr>
          <w:lang w:val="nl-BE"/>
        </w:rPr>
      </w:pPr>
    </w:p>
    <w:p w14:paraId="62623722" w14:textId="4B43DB8C" w:rsidR="00BE6C22" w:rsidRPr="00661D38" w:rsidRDefault="00BE6C22" w:rsidP="00BE6C22">
      <w:pPr>
        <w:jc w:val="both"/>
        <w:rPr>
          <w:lang w:val="nl-BE"/>
        </w:rPr>
      </w:pPr>
      <w:r w:rsidRPr="00661D38">
        <w:rPr>
          <w:lang w:val="nl-BE"/>
        </w:rPr>
        <w:t xml:space="preserve">U vraagt ons om </w:t>
      </w:r>
      <w:r w:rsidRPr="00661D38">
        <w:t xml:space="preserve">werkzaamheden </w:t>
      </w:r>
      <w:r w:rsidRPr="00661D38">
        <w:rPr>
          <w:lang w:val="nl-BE"/>
        </w:rPr>
        <w:t xml:space="preserve">uit te voeren </w:t>
      </w:r>
      <w:r w:rsidRPr="00661D38">
        <w:t xml:space="preserve">met betrekking tot </w:t>
      </w:r>
      <w:r w:rsidRPr="00661D38">
        <w:rPr>
          <w:lang w:val="nl-BE"/>
        </w:rPr>
        <w:t xml:space="preserve">de </w:t>
      </w:r>
      <w:r>
        <w:rPr>
          <w:lang w:val="nl-BE"/>
        </w:rPr>
        <w:t xml:space="preserve">rapportering van de Building Blocks zoals </w:t>
      </w:r>
      <w:r w:rsidR="00BF785B">
        <w:rPr>
          <w:lang w:val="nl-BE"/>
        </w:rPr>
        <w:t xml:space="preserve">vermeld </w:t>
      </w:r>
      <w:r>
        <w:rPr>
          <w:lang w:val="nl-BE"/>
        </w:rPr>
        <w:t>in de “Afspraken over single audit: audit rekeningen 2020 Vlaamse overheid” tussen het Rekenhof, het Instituut van de Bedrijfsrevisoren en het departement Financiën en Begroting van de Vlaamse Gemeenschap</w:t>
      </w:r>
      <w:r w:rsidRPr="00661D38">
        <w:rPr>
          <w:lang w:val="nl-BE"/>
        </w:rPr>
        <w:t>.</w:t>
      </w:r>
      <w:r w:rsidRPr="00661D38">
        <w:t xml:space="preserve"> </w:t>
      </w:r>
      <w:r>
        <w:t xml:space="preserve">De </w:t>
      </w:r>
      <w:r w:rsidR="00BF785B">
        <w:t xml:space="preserve">uit te voeren </w:t>
      </w:r>
      <w:r>
        <w:t xml:space="preserve">procedures waarover wij zullen rapporteren zijn beschreven in deze Afsprakennota en </w:t>
      </w:r>
      <w:r w:rsidR="00BF785B">
        <w:t>zijn in</w:t>
      </w:r>
      <w:r>
        <w:t xml:space="preserve"> bijlage van deze opdrachtbrief toegevoegd. De</w:t>
      </w:r>
      <w:r w:rsidRPr="00661D38">
        <w:t xml:space="preserve"> opdracht wordt beëindigd door de overhandiging van een schriftelijk verslag</w:t>
      </w:r>
      <w:r w:rsidR="00BF785B">
        <w:t xml:space="preserve">  houdende feitelijke bevindingen</w:t>
      </w:r>
      <w:r w:rsidRPr="00661D38">
        <w:rPr>
          <w:lang w:val="nl-BE"/>
        </w:rPr>
        <w:t>.</w:t>
      </w:r>
    </w:p>
    <w:p w14:paraId="6CEA0936" w14:textId="77777777" w:rsidR="00BE6C22" w:rsidRPr="00661D38" w:rsidRDefault="00BE6C22" w:rsidP="00BE6C22">
      <w:pPr>
        <w:jc w:val="both"/>
        <w:rPr>
          <w:lang w:val="nl-BE"/>
        </w:rPr>
      </w:pPr>
    </w:p>
    <w:p w14:paraId="7D960803" w14:textId="48F935F7" w:rsidR="00BF785B" w:rsidRDefault="00BF785B" w:rsidP="00BE6C22">
      <w:pPr>
        <w:jc w:val="both"/>
        <w:rPr>
          <w:lang w:val="nl-BE"/>
        </w:rPr>
      </w:pPr>
      <w:r>
        <w:rPr>
          <w:lang w:val="nl-BE"/>
        </w:rPr>
        <w:t>De opmaak van de rapportering inzake de Building Blocks behoort tot de verantwoordelijkheid van het management / het bestuursorgaan / de leidend ambtenaar.</w:t>
      </w:r>
    </w:p>
    <w:p w14:paraId="1B981941" w14:textId="350D81E5" w:rsidR="00BF785B" w:rsidRDefault="00BF785B" w:rsidP="00BE6C22">
      <w:pPr>
        <w:jc w:val="both"/>
        <w:rPr>
          <w:lang w:val="nl-BE"/>
        </w:rPr>
      </w:pPr>
    </w:p>
    <w:p w14:paraId="623CF945" w14:textId="622AF01B" w:rsidR="00BF785B" w:rsidRDefault="00BF785B" w:rsidP="00BE6C22">
      <w:pPr>
        <w:jc w:val="both"/>
        <w:rPr>
          <w:lang w:val="nl-BE"/>
        </w:rPr>
      </w:pPr>
      <w:r>
        <w:rPr>
          <w:lang w:val="nl-BE"/>
        </w:rPr>
        <w:t xml:space="preserve">De werkzaamheden die wij zullen uitvoeren worden door het departement Financiën en Begroting van de Vlaamse Gemeenschap afdoende geacht.  Deze werkzaamheden dienen alleen om </w:t>
      </w:r>
      <w:r w:rsidR="00744FBE">
        <w:rPr>
          <w:lang w:val="nl-BE"/>
        </w:rPr>
        <w:t xml:space="preserve">voor u </w:t>
      </w:r>
      <w:r>
        <w:rPr>
          <w:lang w:val="nl-BE"/>
        </w:rPr>
        <w:t xml:space="preserve">een hulpmiddel te vormen bij de rapportering aan voornoemd </w:t>
      </w:r>
      <w:r w:rsidR="00744FBE">
        <w:rPr>
          <w:lang w:val="nl-BE"/>
        </w:rPr>
        <w:t xml:space="preserve">departement. </w:t>
      </w:r>
      <w:r>
        <w:rPr>
          <w:lang w:val="nl-BE"/>
        </w:rPr>
        <w:t>Ons rapport mag niet worden gebruikt voor enige andere toepassing</w:t>
      </w:r>
    </w:p>
    <w:p w14:paraId="200B97B8" w14:textId="77777777" w:rsidR="00BF785B" w:rsidRDefault="00BF785B" w:rsidP="00BE6C22">
      <w:pPr>
        <w:jc w:val="both"/>
        <w:rPr>
          <w:lang w:val="nl-BE"/>
        </w:rPr>
      </w:pPr>
    </w:p>
    <w:p w14:paraId="54ED5164" w14:textId="77777777" w:rsidR="00BE6C22" w:rsidRPr="00813546" w:rsidRDefault="00BE6C22" w:rsidP="00BE6C22">
      <w:pPr>
        <w:jc w:val="both"/>
        <w:rPr>
          <w:lang w:val="nl-BE"/>
        </w:rPr>
      </w:pPr>
      <w:r w:rsidRPr="00813546">
        <w:rPr>
          <w:lang w:val="nl-BE"/>
        </w:rPr>
        <w:t>De werkzaamheden die wij zullen uitvoeren zullen geen controle of beoordeling uitmaken in overeenstemming met de Internationale standaarden inzake c</w:t>
      </w:r>
      <w:r w:rsidRPr="00813546">
        <w:t>ontroleopdrachten (International Standards on Auditing, ISA) of b</w:t>
      </w:r>
      <w:proofErr w:type="spellStart"/>
      <w:r w:rsidRPr="00813546">
        <w:rPr>
          <w:lang w:val="nl-BE"/>
        </w:rPr>
        <w:t>eoordelingsopdrachten</w:t>
      </w:r>
      <w:proofErr w:type="spellEnd"/>
      <w:r w:rsidRPr="00813546">
        <w:rPr>
          <w:lang w:val="nl-BE"/>
        </w:rPr>
        <w:t xml:space="preserve"> (International Standards on Review </w:t>
      </w:r>
      <w:proofErr w:type="spellStart"/>
      <w:r w:rsidRPr="00813546">
        <w:rPr>
          <w:lang w:val="nl-BE"/>
        </w:rPr>
        <w:t>Engagements</w:t>
      </w:r>
      <w:proofErr w:type="spellEnd"/>
      <w:r w:rsidRPr="00813546">
        <w:rPr>
          <w:lang w:val="nl-BE"/>
        </w:rPr>
        <w:t>, ISRE</w:t>
      </w:r>
      <w:r w:rsidRPr="00813546">
        <w:t>)</w:t>
      </w:r>
      <w:r w:rsidRPr="00813546">
        <w:rPr>
          <w:lang w:val="nl-BE"/>
        </w:rPr>
        <w:t>, en bijgevolg wordt geen zekerheid tot uitdrukking gebracht die eigen is aan een audit.</w:t>
      </w:r>
    </w:p>
    <w:p w14:paraId="2F584EB5" w14:textId="77777777" w:rsidR="00BE6C22" w:rsidRDefault="00BE6C22" w:rsidP="00BE6C22">
      <w:pPr>
        <w:jc w:val="both"/>
        <w:rPr>
          <w:b/>
          <w:i/>
          <w:sz w:val="22"/>
          <w:szCs w:val="22"/>
          <w:lang w:val="nl-BE"/>
        </w:rPr>
      </w:pPr>
    </w:p>
    <w:p w14:paraId="12BF2BC3" w14:textId="77777777" w:rsidR="00BF785B" w:rsidRPr="00813546" w:rsidRDefault="00BF785B" w:rsidP="00BF785B">
      <w:pPr>
        <w:jc w:val="both"/>
        <w:rPr>
          <w:lang w:val="nl-BE"/>
        </w:rPr>
      </w:pPr>
      <w:r w:rsidRPr="00813546">
        <w:t xml:space="preserve">Mits uw akkoord omtrent de modaliteiten voor de uitvoering van deze opdracht, zullen wij onze werkzaamheden starten. </w:t>
      </w:r>
      <w:r w:rsidRPr="00813546">
        <w:rPr>
          <w:lang w:val="nl-BE"/>
        </w:rPr>
        <w:t xml:space="preserve">Wij rekenen hierbij op </w:t>
      </w:r>
      <w:r w:rsidRPr="00813546">
        <w:t xml:space="preserve">de vereiste assistentie </w:t>
      </w:r>
      <w:r w:rsidRPr="00813546">
        <w:rPr>
          <w:lang w:val="nl-BE"/>
        </w:rPr>
        <w:t xml:space="preserve">om dit mogelijk te maken. </w:t>
      </w:r>
    </w:p>
    <w:p w14:paraId="4AFE8DA3" w14:textId="77777777" w:rsidR="00BF785B" w:rsidRPr="00813546" w:rsidRDefault="00BF785B" w:rsidP="00BF785B">
      <w:pPr>
        <w:jc w:val="both"/>
        <w:rPr>
          <w:highlight w:val="yellow"/>
          <w:lang w:val="nl-BE"/>
        </w:rPr>
      </w:pPr>
    </w:p>
    <w:p w14:paraId="69D04660" w14:textId="77777777" w:rsidR="00A51BC7" w:rsidRDefault="00A51BC7">
      <w:pPr>
        <w:widowControl/>
        <w:spacing w:after="200" w:line="276" w:lineRule="auto"/>
        <w:rPr>
          <w:sz w:val="18"/>
          <w:szCs w:val="18"/>
          <w:lang w:val="nl-BE"/>
        </w:rPr>
      </w:pPr>
      <w:r>
        <w:rPr>
          <w:sz w:val="18"/>
          <w:szCs w:val="18"/>
          <w:lang w:val="nl-BE"/>
        </w:rPr>
        <w:br w:type="page"/>
      </w:r>
    </w:p>
    <w:p w14:paraId="7628BBCB" w14:textId="77777777" w:rsidR="00BE6C22" w:rsidRPr="00813546" w:rsidRDefault="00BE6C22" w:rsidP="00BE6C22">
      <w:pPr>
        <w:tabs>
          <w:tab w:val="left" w:pos="3225"/>
        </w:tabs>
        <w:jc w:val="both"/>
        <w:rPr>
          <w:sz w:val="18"/>
          <w:szCs w:val="18"/>
          <w:lang w:val="nl-BE"/>
        </w:rPr>
      </w:pPr>
    </w:p>
    <w:p w14:paraId="13B962AB" w14:textId="77777777" w:rsidR="00BE6C22" w:rsidRPr="00813546" w:rsidRDefault="00BE6C22" w:rsidP="00BE6C22">
      <w:pPr>
        <w:jc w:val="both"/>
        <w:rPr>
          <w:b/>
          <w:i/>
          <w:lang w:val="nl-BE"/>
        </w:rPr>
      </w:pPr>
      <w:r w:rsidRPr="00813546">
        <w:rPr>
          <w:b/>
          <w:i/>
          <w:lang w:val="nl-BE"/>
        </w:rPr>
        <w:t>Erelonen en Facturatie</w:t>
      </w:r>
    </w:p>
    <w:p w14:paraId="4A0B00C7" w14:textId="77777777" w:rsidR="00BE6C22" w:rsidRPr="00813546" w:rsidRDefault="00BE6C22" w:rsidP="00BE6C22">
      <w:pPr>
        <w:jc w:val="both"/>
        <w:rPr>
          <w:lang w:val="nl-BE"/>
        </w:rPr>
      </w:pPr>
    </w:p>
    <w:p w14:paraId="2329B726" w14:textId="77777777" w:rsidR="00BE6C22" w:rsidRDefault="00BE6C22" w:rsidP="00BE6C22">
      <w:pPr>
        <w:jc w:val="both"/>
        <w:rPr>
          <w:b/>
          <w:i/>
          <w:lang w:val="nl-BE"/>
        </w:rPr>
      </w:pPr>
      <w:r w:rsidRPr="00813546">
        <w:rPr>
          <w:lang w:val="nl-BE"/>
        </w:rPr>
        <w:t>Onze honoraria, die zullen worden gefactureerd naar gelang de voor</w:t>
      </w:r>
      <w:r w:rsidRPr="00813546">
        <w:t>t</w:t>
      </w:r>
      <w:r w:rsidRPr="00813546">
        <w:rPr>
          <w:lang w:val="nl-BE"/>
        </w:rPr>
        <w:t xml:space="preserve">gang van </w:t>
      </w:r>
      <w:r w:rsidRPr="00813546">
        <w:t>de opdracht</w:t>
      </w:r>
      <w:r w:rsidRPr="00813546">
        <w:rPr>
          <w:lang w:val="nl-BE"/>
        </w:rPr>
        <w:t>, worden berekend op basis van de benodigde tijd van de personen toegewezen aan de opdracht</w:t>
      </w:r>
      <w:r w:rsidR="00A51BC7">
        <w:rPr>
          <w:lang w:val="nl-BE"/>
        </w:rPr>
        <w:t xml:space="preserve">. </w:t>
      </w:r>
    </w:p>
    <w:p w14:paraId="1263F304" w14:textId="77777777" w:rsidR="00BE6C22" w:rsidRPr="00813546" w:rsidRDefault="00BE6C22" w:rsidP="00BE6C22">
      <w:pPr>
        <w:jc w:val="both"/>
        <w:rPr>
          <w:b/>
          <w:i/>
          <w:lang w:val="nl-BE"/>
        </w:rPr>
      </w:pPr>
    </w:p>
    <w:p w14:paraId="1F6E9B80" w14:textId="77777777" w:rsidR="00BE6C22" w:rsidRPr="00813546" w:rsidRDefault="00A51BC7" w:rsidP="00BE6C22">
      <w:pPr>
        <w:jc w:val="both"/>
        <w:rPr>
          <w:b/>
          <w:i/>
          <w:lang w:val="nl-BE"/>
        </w:rPr>
      </w:pPr>
      <w:r>
        <w:rPr>
          <w:b/>
          <w:i/>
          <w:lang w:val="nl-BE"/>
        </w:rPr>
        <w:t>$</w:t>
      </w:r>
      <w:r w:rsidR="00BE6C22" w:rsidRPr="00813546">
        <w:rPr>
          <w:b/>
          <w:i/>
          <w:lang w:val="nl-BE"/>
        </w:rPr>
        <w:t>Algemene voorwaarden</w:t>
      </w:r>
      <w:r>
        <w:rPr>
          <w:b/>
          <w:i/>
          <w:lang w:val="nl-BE"/>
        </w:rPr>
        <w:t>$</w:t>
      </w:r>
    </w:p>
    <w:p w14:paraId="71503611" w14:textId="77777777" w:rsidR="00BE6C22" w:rsidRPr="00813546" w:rsidRDefault="00BE6C22" w:rsidP="00BE6C22">
      <w:pPr>
        <w:jc w:val="both"/>
        <w:rPr>
          <w:lang w:val="nl-BE"/>
        </w:rPr>
      </w:pPr>
    </w:p>
    <w:p w14:paraId="2D372FB3" w14:textId="77777777" w:rsidR="00BE6C22" w:rsidRPr="00813546" w:rsidRDefault="00BE6C22" w:rsidP="00BE6C22">
      <w:pPr>
        <w:jc w:val="both"/>
        <w:rPr>
          <w:lang w:val="nl-BE"/>
        </w:rPr>
      </w:pPr>
    </w:p>
    <w:p w14:paraId="392DB3E1" w14:textId="77777777" w:rsidR="00BE6C22" w:rsidRPr="00813546" w:rsidRDefault="00BE6C22" w:rsidP="00BE6C22">
      <w:pPr>
        <w:jc w:val="both"/>
        <w:rPr>
          <w:lang w:val="nl-BE"/>
        </w:rPr>
      </w:pPr>
      <w:r w:rsidRPr="00813546">
        <w:rPr>
          <w:lang w:val="nl-BE"/>
        </w:rPr>
        <w:t>Beleefd verzoeken wij u, indien u akkoord kan gaan met het bovenstaande, bijgaande kopij, ondertekend voor akkoord, te willen terugzenden teneinde aan te geven dat zij in overeenstemming is met uw begrip van de opdrachtvoorwaarden, met inbegrip van de specifieke werkzaamheden waarvan wij zijn</w:t>
      </w:r>
      <w:r w:rsidRPr="00813546">
        <w:t xml:space="preserve"> </w:t>
      </w:r>
      <w:r w:rsidRPr="00813546">
        <w:rPr>
          <w:lang w:val="nl-BE"/>
        </w:rPr>
        <w:t>overeengekomen dat deze zullen worden uitgevoerd.</w:t>
      </w:r>
    </w:p>
    <w:p w14:paraId="295A8E04" w14:textId="77777777" w:rsidR="00BE6C22" w:rsidRPr="00813546" w:rsidRDefault="00BE6C22" w:rsidP="00BE6C22">
      <w:pPr>
        <w:rPr>
          <w:lang w:val="nl-BE"/>
        </w:rPr>
      </w:pPr>
    </w:p>
    <w:p w14:paraId="1206E9AD" w14:textId="77777777" w:rsidR="00BE6C22" w:rsidRPr="00813546" w:rsidRDefault="00BE6C22" w:rsidP="00BE6C22">
      <w:pPr>
        <w:jc w:val="both"/>
        <w:rPr>
          <w:lang w:val="nl-BE"/>
        </w:rPr>
      </w:pPr>
      <w:r w:rsidRPr="00813546">
        <w:rPr>
          <w:lang w:val="nl-BE"/>
        </w:rPr>
        <w:t xml:space="preserve">Wij zijn graag bereid om u alle bijkomende informatie te verschaffen die u zou wensen aangaande onze verantwoordelijkheden en taken. </w:t>
      </w:r>
    </w:p>
    <w:p w14:paraId="2E3F4A7F" w14:textId="77777777" w:rsidR="00BE6C22" w:rsidRPr="00813546" w:rsidRDefault="00BE6C22" w:rsidP="00BE6C22">
      <w:pPr>
        <w:jc w:val="both"/>
        <w:rPr>
          <w:lang w:val="nl-BE"/>
        </w:rPr>
      </w:pPr>
    </w:p>
    <w:p w14:paraId="4D19A9E6" w14:textId="77777777" w:rsidR="00BE6C22" w:rsidRPr="00813546" w:rsidRDefault="00BE6C22" w:rsidP="00BE6C22">
      <w:pPr>
        <w:tabs>
          <w:tab w:val="left" w:pos="3225"/>
        </w:tabs>
        <w:jc w:val="both"/>
        <w:rPr>
          <w:sz w:val="18"/>
          <w:szCs w:val="18"/>
        </w:rPr>
      </w:pPr>
    </w:p>
    <w:p w14:paraId="6C97CC7F" w14:textId="77777777" w:rsidR="00BE6C22" w:rsidRDefault="00BE6C22" w:rsidP="00BE6C22">
      <w:pPr>
        <w:tabs>
          <w:tab w:val="left" w:pos="708"/>
          <w:tab w:val="center" w:pos="4536"/>
          <w:tab w:val="right" w:pos="9072"/>
        </w:tabs>
        <w:jc w:val="both"/>
      </w:pPr>
    </w:p>
    <w:p w14:paraId="168D0C37" w14:textId="77777777" w:rsidR="00BE6C22" w:rsidRPr="001C389E" w:rsidRDefault="00BE6C22" w:rsidP="00BE6C22">
      <w:pPr>
        <w:tabs>
          <w:tab w:val="left" w:pos="-720"/>
        </w:tabs>
        <w:suppressAutoHyphens/>
        <w:jc w:val="both"/>
      </w:pPr>
    </w:p>
    <w:p w14:paraId="3C1A58FF" w14:textId="77777777" w:rsidR="00BE6C22" w:rsidRPr="001C389E" w:rsidRDefault="00BE6C22" w:rsidP="00BE6C22">
      <w:pPr>
        <w:jc w:val="both"/>
      </w:pPr>
      <w:r w:rsidRPr="001C389E">
        <w:t>Met beleefde groeten,</w:t>
      </w:r>
    </w:p>
    <w:p w14:paraId="59D4FF42" w14:textId="77777777" w:rsidR="00BE6C22" w:rsidRPr="001C389E" w:rsidRDefault="00BE6C22" w:rsidP="00BE6C22">
      <w:pPr>
        <w:jc w:val="both"/>
      </w:pPr>
    </w:p>
    <w:p w14:paraId="5B5171E6" w14:textId="77777777" w:rsidR="00BE6C22" w:rsidRPr="001C389E" w:rsidRDefault="00BE6C22" w:rsidP="00BE6C22">
      <w:pPr>
        <w:jc w:val="both"/>
      </w:pPr>
    </w:p>
    <w:p w14:paraId="5E8B661C" w14:textId="77777777" w:rsidR="00BE6C22" w:rsidRPr="001C389E" w:rsidRDefault="00BE6C22" w:rsidP="00BE6C22">
      <w:pPr>
        <w:jc w:val="both"/>
      </w:pPr>
    </w:p>
    <w:p w14:paraId="24D92D0B" w14:textId="77777777" w:rsidR="00BE6C22" w:rsidRPr="001C389E" w:rsidRDefault="00BE6C22" w:rsidP="00BE6C22">
      <w:pPr>
        <w:jc w:val="both"/>
      </w:pPr>
    </w:p>
    <w:p w14:paraId="3AA1D5EA" w14:textId="77777777" w:rsidR="00BE6C22" w:rsidRPr="001C389E" w:rsidRDefault="00BE6C22" w:rsidP="00BE6C22">
      <w:pPr>
        <w:jc w:val="both"/>
      </w:pPr>
    </w:p>
    <w:p w14:paraId="6D984075" w14:textId="77777777" w:rsidR="00BE6C22" w:rsidRPr="001C389E" w:rsidRDefault="00BE6C22" w:rsidP="00BE6C22">
      <w:pPr>
        <w:jc w:val="both"/>
      </w:pPr>
    </w:p>
    <w:p w14:paraId="04EDA92A" w14:textId="77777777" w:rsidR="00BE6C22" w:rsidRPr="001C389E" w:rsidRDefault="00BE6C22" w:rsidP="00BE6C22">
      <w:pPr>
        <w:jc w:val="both"/>
      </w:pPr>
      <w:r w:rsidRPr="001C389E">
        <w:t>__________________________</w:t>
      </w:r>
    </w:p>
    <w:p w14:paraId="2C7F7006" w14:textId="77777777" w:rsidR="00A51BC7" w:rsidRDefault="00A51BC7" w:rsidP="00BE6C22">
      <w:pPr>
        <w:jc w:val="both"/>
      </w:pPr>
      <w:r>
        <w:t>$IDENTIFICATIE</w:t>
      </w:r>
    </w:p>
    <w:p w14:paraId="2FF95FC3" w14:textId="77777777" w:rsidR="00BE6C22" w:rsidRPr="001C389E" w:rsidRDefault="00A51BC7" w:rsidP="00BE6C22">
      <w:pPr>
        <w:jc w:val="both"/>
      </w:pPr>
      <w:r>
        <w:t>ONDERTEKENING REVISOR$</w:t>
      </w:r>
    </w:p>
    <w:p w14:paraId="0CDB7D8E" w14:textId="77777777" w:rsidR="00BE6C22" w:rsidRPr="001C389E" w:rsidRDefault="00BE6C22" w:rsidP="00BE6C22">
      <w:pPr>
        <w:tabs>
          <w:tab w:val="left" w:pos="5103"/>
        </w:tabs>
        <w:jc w:val="both"/>
      </w:pPr>
    </w:p>
    <w:p w14:paraId="5B6C6F86" w14:textId="77777777" w:rsidR="00BE6C22" w:rsidRPr="001C389E" w:rsidRDefault="00BE6C22" w:rsidP="00BE6C22">
      <w:pPr>
        <w:tabs>
          <w:tab w:val="left" w:pos="5103"/>
        </w:tabs>
        <w:jc w:val="both"/>
      </w:pPr>
    </w:p>
    <w:p w14:paraId="69FF57B2" w14:textId="77777777" w:rsidR="00BE6C22" w:rsidRPr="001C389E" w:rsidRDefault="00BE6C22" w:rsidP="00BE6C22">
      <w:pPr>
        <w:tabs>
          <w:tab w:val="left" w:pos="5103"/>
        </w:tabs>
        <w:jc w:val="both"/>
      </w:pPr>
      <w:r w:rsidRPr="001C389E">
        <w:t>Voor akkoord</w:t>
      </w:r>
    </w:p>
    <w:p w14:paraId="03D436B6" w14:textId="77777777" w:rsidR="00BE6C22" w:rsidRDefault="00BE6C22" w:rsidP="00BE6C22">
      <w:pPr>
        <w:tabs>
          <w:tab w:val="left" w:pos="5103"/>
        </w:tabs>
        <w:jc w:val="both"/>
      </w:pPr>
    </w:p>
    <w:p w14:paraId="7F439EEF" w14:textId="77777777" w:rsidR="00BE6C22" w:rsidRDefault="00BE6C22" w:rsidP="00BE6C22">
      <w:pPr>
        <w:tabs>
          <w:tab w:val="left" w:pos="5103"/>
        </w:tabs>
        <w:jc w:val="both"/>
      </w:pPr>
    </w:p>
    <w:p w14:paraId="60352737" w14:textId="77777777" w:rsidR="00BE6C22" w:rsidRDefault="00BE6C22" w:rsidP="00BE6C22">
      <w:pPr>
        <w:tabs>
          <w:tab w:val="left" w:pos="5103"/>
        </w:tabs>
        <w:jc w:val="both"/>
      </w:pPr>
    </w:p>
    <w:p w14:paraId="722E5480" w14:textId="77777777" w:rsidR="00BE6C22" w:rsidRPr="001C389E" w:rsidRDefault="00BE6C22" w:rsidP="00BE6C22">
      <w:pPr>
        <w:tabs>
          <w:tab w:val="left" w:pos="5103"/>
        </w:tabs>
        <w:jc w:val="both"/>
      </w:pPr>
    </w:p>
    <w:p w14:paraId="766CA570" w14:textId="77777777" w:rsidR="00BE6C22" w:rsidRPr="001C389E" w:rsidRDefault="00BE6C22" w:rsidP="00BE6C22">
      <w:pPr>
        <w:tabs>
          <w:tab w:val="left" w:pos="5103"/>
        </w:tabs>
        <w:jc w:val="both"/>
      </w:pPr>
    </w:p>
    <w:p w14:paraId="4113AC1A" w14:textId="77777777" w:rsidR="00A51BC7" w:rsidRPr="001C389E" w:rsidRDefault="00BE6C22" w:rsidP="00A51BC7">
      <w:pPr>
        <w:jc w:val="both"/>
      </w:pPr>
      <w:r w:rsidRPr="001C389E">
        <w:t>__________________________</w:t>
      </w:r>
      <w:r w:rsidR="00A51BC7">
        <w:tab/>
      </w:r>
      <w:r w:rsidR="00A51BC7">
        <w:tab/>
      </w:r>
      <w:r w:rsidR="00A51BC7">
        <w:tab/>
      </w:r>
      <w:r w:rsidR="00A51BC7" w:rsidRPr="001C389E">
        <w:t>__________________________</w:t>
      </w:r>
    </w:p>
    <w:p w14:paraId="2ABE495F" w14:textId="77777777" w:rsidR="00BE6C22" w:rsidRDefault="00A51BC7" w:rsidP="00A51BC7">
      <w:pPr>
        <w:tabs>
          <w:tab w:val="left" w:pos="5103"/>
        </w:tabs>
        <w:ind w:left="5100" w:hanging="5100"/>
        <w:jc w:val="both"/>
      </w:pPr>
      <w:r>
        <w:t>$ENTITEIT$</w:t>
      </w:r>
      <w:r>
        <w:tab/>
      </w:r>
      <w:r>
        <w:tab/>
        <w:t>INSTITUUT VAN DE NATIONALE REKENINGEN</w:t>
      </w:r>
    </w:p>
    <w:p w14:paraId="611198E0" w14:textId="77777777" w:rsidR="00BE6C22" w:rsidRDefault="00A51BC7" w:rsidP="00BE6C22">
      <w:pPr>
        <w:tabs>
          <w:tab w:val="left" w:pos="5103"/>
        </w:tabs>
        <w:jc w:val="both"/>
      </w:pPr>
      <w:r>
        <w:t>$NAAM VERANTWOORDELIJKE$</w:t>
      </w:r>
      <w:r>
        <w:tab/>
        <w:t>$NAAM VERANTWOORDELIJKE$</w:t>
      </w:r>
    </w:p>
    <w:p w14:paraId="7B22C1A2" w14:textId="77777777" w:rsidR="00A51BC7" w:rsidRDefault="00A51BC7" w:rsidP="00A51BC7">
      <w:pPr>
        <w:tabs>
          <w:tab w:val="left" w:pos="5103"/>
        </w:tabs>
        <w:jc w:val="both"/>
      </w:pPr>
      <w:r>
        <w:t>$FUNCTIE VERANTWOORDELIJKE$</w:t>
      </w:r>
      <w:r>
        <w:tab/>
        <w:t>$FUNCTIE VERANTWOORDELIJKE$</w:t>
      </w:r>
    </w:p>
    <w:p w14:paraId="7F6B5224" w14:textId="77777777" w:rsidR="00A51BC7" w:rsidRDefault="00A51BC7" w:rsidP="00A51BC7">
      <w:pPr>
        <w:tabs>
          <w:tab w:val="left" w:pos="5103"/>
        </w:tabs>
        <w:jc w:val="both"/>
      </w:pPr>
      <w:r>
        <w:t>$DATUM$</w:t>
      </w:r>
      <w:r>
        <w:tab/>
        <w:t>$DATUM$</w:t>
      </w:r>
    </w:p>
    <w:p w14:paraId="533B3DAA" w14:textId="77777777" w:rsidR="00A51BC7" w:rsidRDefault="00A51BC7">
      <w:pPr>
        <w:widowControl/>
        <w:spacing w:after="200" w:line="276" w:lineRule="auto"/>
      </w:pPr>
      <w:r>
        <w:br w:type="page"/>
      </w:r>
    </w:p>
    <w:p w14:paraId="22B99613" w14:textId="77777777" w:rsidR="00A51BC7" w:rsidRPr="00A51BC7" w:rsidRDefault="00A51BC7" w:rsidP="00A51BC7">
      <w:pPr>
        <w:tabs>
          <w:tab w:val="left" w:pos="5103"/>
        </w:tabs>
        <w:jc w:val="both"/>
        <w:rPr>
          <w:b/>
          <w:bCs/>
        </w:rPr>
      </w:pPr>
      <w:r w:rsidRPr="00A51BC7">
        <w:rPr>
          <w:b/>
          <w:bCs/>
        </w:rPr>
        <w:lastRenderedPageBreak/>
        <w:t>BIJLAGE: UIT TE VOEREN PROCEDURES</w:t>
      </w:r>
    </w:p>
    <w:p w14:paraId="44BF1F48" w14:textId="77777777" w:rsidR="00A51BC7" w:rsidRDefault="00A51BC7" w:rsidP="00A51BC7">
      <w:pPr>
        <w:tabs>
          <w:tab w:val="left" w:pos="5103"/>
        </w:tabs>
        <w:jc w:val="both"/>
      </w:pPr>
    </w:p>
    <w:p w14:paraId="731FF8D3" w14:textId="77777777" w:rsidR="00A51BC7" w:rsidRPr="000D0670" w:rsidRDefault="00A51BC7" w:rsidP="00A51BC7">
      <w:pPr>
        <w:pStyle w:val="ListParagraph"/>
        <w:numPr>
          <w:ilvl w:val="0"/>
          <w:numId w:val="2"/>
        </w:numPr>
        <w:spacing w:after="200" w:line="276" w:lineRule="auto"/>
        <w:rPr>
          <w:rFonts w:ascii="Gotham Book" w:hAnsi="Gotham Book"/>
          <w:b/>
          <w:bCs/>
          <w:sz w:val="20"/>
        </w:rPr>
      </w:pPr>
      <w:r w:rsidRPr="000D0670">
        <w:rPr>
          <w:rFonts w:ascii="Gotham Book" w:hAnsi="Gotham Book"/>
          <w:b/>
          <w:bCs/>
          <w:sz w:val="20"/>
        </w:rPr>
        <w:t>Algemeen</w:t>
      </w:r>
    </w:p>
    <w:p w14:paraId="2C99B788" w14:textId="77777777" w:rsidR="00A51BC7" w:rsidRDefault="00A51BC7" w:rsidP="00A51BC7">
      <w:pPr>
        <w:pStyle w:val="ListParagraph"/>
      </w:pPr>
    </w:p>
    <w:p w14:paraId="2022A012" w14:textId="77777777" w:rsidR="00A51BC7" w:rsidRPr="00A44AE4" w:rsidRDefault="00A51BC7" w:rsidP="00A51BC7">
      <w:pPr>
        <w:pStyle w:val="ListParagraph"/>
        <w:jc w:val="both"/>
        <w:rPr>
          <w:rFonts w:ascii="Gotham Book" w:hAnsi="Gotham Book"/>
          <w:sz w:val="20"/>
          <w:szCs w:val="20"/>
        </w:rPr>
      </w:pPr>
      <w:r w:rsidRPr="00A44AE4">
        <w:rPr>
          <w:rFonts w:ascii="Gotham Book" w:hAnsi="Gotham Book"/>
          <w:sz w:val="20"/>
          <w:szCs w:val="20"/>
        </w:rPr>
        <w:t xml:space="preserve">Deze opdracht betreft een </w:t>
      </w:r>
      <w:proofErr w:type="spellStart"/>
      <w:r w:rsidRPr="00A44AE4">
        <w:rPr>
          <w:rFonts w:ascii="Gotham Book" w:hAnsi="Gotham Book"/>
          <w:sz w:val="20"/>
          <w:szCs w:val="20"/>
        </w:rPr>
        <w:t>Agreed</w:t>
      </w:r>
      <w:proofErr w:type="spellEnd"/>
      <w:r w:rsidRPr="00A44AE4">
        <w:rPr>
          <w:rFonts w:ascii="Gotham Book" w:hAnsi="Gotham Book"/>
          <w:sz w:val="20"/>
          <w:szCs w:val="20"/>
        </w:rPr>
        <w:t xml:space="preserve"> </w:t>
      </w:r>
      <w:proofErr w:type="spellStart"/>
      <w:r w:rsidRPr="00A44AE4">
        <w:rPr>
          <w:rFonts w:ascii="Gotham Book" w:hAnsi="Gotham Book"/>
          <w:sz w:val="20"/>
          <w:szCs w:val="20"/>
        </w:rPr>
        <w:t>Upon</w:t>
      </w:r>
      <w:proofErr w:type="spellEnd"/>
      <w:r w:rsidRPr="00A44AE4">
        <w:rPr>
          <w:rFonts w:ascii="Gotham Book" w:hAnsi="Gotham Book"/>
          <w:sz w:val="20"/>
          <w:szCs w:val="20"/>
        </w:rPr>
        <w:t xml:space="preserve"> Procedures die in overeenstemming met ISRS 4400 dient uitgevoerd te worden. Indien er hieronder verwezen wordt naar materialiteit dient dit begrepen te worden als de gebruikte uitvoeringsmaterialiteit in de audit van de entiteit.</w:t>
      </w:r>
    </w:p>
    <w:p w14:paraId="6B6386D6" w14:textId="77777777" w:rsidR="00A51BC7" w:rsidRDefault="00A51BC7" w:rsidP="00A51BC7">
      <w:pPr>
        <w:pStyle w:val="ListParagraph"/>
      </w:pPr>
    </w:p>
    <w:p w14:paraId="6438B7B3" w14:textId="77777777" w:rsidR="00A51BC7" w:rsidRPr="006663DB" w:rsidRDefault="00A51BC7" w:rsidP="00A51BC7">
      <w:pPr>
        <w:pStyle w:val="ListParagraph"/>
        <w:numPr>
          <w:ilvl w:val="0"/>
          <w:numId w:val="2"/>
        </w:numPr>
        <w:spacing w:after="200" w:line="276" w:lineRule="auto"/>
        <w:rPr>
          <w:rFonts w:ascii="Gotham Book" w:hAnsi="Gotham Book"/>
          <w:sz w:val="20"/>
        </w:rPr>
      </w:pPr>
      <w:r w:rsidRPr="004C44B6">
        <w:rPr>
          <w:rFonts w:ascii="Gotham Book" w:hAnsi="Gotham Book"/>
          <w:b/>
          <w:bCs/>
          <w:sz w:val="20"/>
        </w:rPr>
        <w:t xml:space="preserve">BBX </w:t>
      </w:r>
      <w:proofErr w:type="spellStart"/>
      <w:r w:rsidRPr="004C44B6">
        <w:rPr>
          <w:rFonts w:ascii="Gotham Book" w:hAnsi="Gotham Book"/>
          <w:b/>
          <w:bCs/>
          <w:sz w:val="20"/>
        </w:rPr>
        <w:t>Deposits</w:t>
      </w:r>
      <w:proofErr w:type="spellEnd"/>
      <w:r w:rsidRPr="004C44B6">
        <w:rPr>
          <w:rFonts w:ascii="Gotham Book" w:hAnsi="Gotham Book"/>
          <w:b/>
          <w:bCs/>
          <w:sz w:val="20"/>
        </w:rPr>
        <w:t xml:space="preserve"> </w:t>
      </w:r>
      <w:r>
        <w:rPr>
          <w:rFonts w:ascii="Gotham Book" w:hAnsi="Gotham Book"/>
          <w:i/>
          <w:iCs/>
          <w:sz w:val="20"/>
        </w:rPr>
        <w:t>(d</w:t>
      </w:r>
      <w:r w:rsidRPr="009D7CF3">
        <w:rPr>
          <w:rFonts w:ascii="Gotham Book" w:hAnsi="Gotham Book"/>
          <w:i/>
          <w:iCs/>
          <w:sz w:val="20"/>
        </w:rPr>
        <w:t>eze BB moet niet in detail ingevuld worden maar mag in blok gerapporteerd worden (per unieke ESA_INSTRUMENT &amp; ESA_COUNTERPARTY combinatie)</w:t>
      </w:r>
    </w:p>
    <w:p w14:paraId="6EEC46E2" w14:textId="77777777" w:rsidR="00A51BC7" w:rsidRDefault="00A51BC7" w:rsidP="00A51BC7">
      <w:pPr>
        <w:pStyle w:val="ListParagraph"/>
      </w:pPr>
    </w:p>
    <w:p w14:paraId="79684BC7" w14:textId="77777777" w:rsidR="00A51BC7" w:rsidRPr="006663DB" w:rsidRDefault="00A51BC7" w:rsidP="00A51BC7">
      <w:pPr>
        <w:pStyle w:val="ListParagraph"/>
        <w:rPr>
          <w:rFonts w:ascii="Gotham Book" w:hAnsi="Gotham Book"/>
          <w:i/>
          <w:iCs/>
          <w:sz w:val="20"/>
          <w:szCs w:val="20"/>
        </w:rPr>
      </w:pPr>
      <w:r w:rsidRPr="006663DB">
        <w:rPr>
          <w:rFonts w:ascii="Gotham Book" w:hAnsi="Gotham Book"/>
          <w:i/>
          <w:iCs/>
          <w:sz w:val="20"/>
          <w:szCs w:val="20"/>
        </w:rPr>
        <w:t xml:space="preserve">In BBX </w:t>
      </w:r>
      <w:proofErr w:type="spellStart"/>
      <w:r w:rsidRPr="006663DB">
        <w:rPr>
          <w:rFonts w:ascii="Gotham Book" w:hAnsi="Gotham Book"/>
          <w:i/>
          <w:iCs/>
          <w:sz w:val="20"/>
          <w:szCs w:val="20"/>
        </w:rPr>
        <w:t>Deposits</w:t>
      </w:r>
      <w:proofErr w:type="spellEnd"/>
      <w:r w:rsidRPr="006663DB">
        <w:rPr>
          <w:rFonts w:ascii="Gotham Book" w:hAnsi="Gotham Book"/>
          <w:i/>
          <w:iCs/>
          <w:sz w:val="20"/>
          <w:szCs w:val="20"/>
        </w:rPr>
        <w:t xml:space="preserve"> dient in feite een overzicht te komen van de financiële rekeningen.</w:t>
      </w:r>
    </w:p>
    <w:p w14:paraId="312FFEEA" w14:textId="77777777" w:rsidR="00A51BC7" w:rsidRPr="009D7CF3" w:rsidRDefault="00A51BC7" w:rsidP="00A51BC7">
      <w:pPr>
        <w:pStyle w:val="ListParagraph"/>
        <w:rPr>
          <w:rFonts w:ascii="Gotham Book" w:hAnsi="Gotham Book"/>
          <w:sz w:val="20"/>
        </w:rPr>
      </w:pPr>
    </w:p>
    <w:p w14:paraId="195326F6"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of in blok is ingevuld</w:t>
      </w:r>
    </w:p>
    <w:p w14:paraId="260A5794"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alle rekeningen zijn opgenomen in de BB</w:t>
      </w:r>
    </w:p>
    <w:p w14:paraId="75CE82AF"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0E785D14"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er geen effectenrekening zijn opgenomen (deze moeten in BBA Shares of BBA </w:t>
      </w:r>
      <w:proofErr w:type="spellStart"/>
      <w:r>
        <w:rPr>
          <w:rFonts w:ascii="Gotham Book" w:hAnsi="Gotham Book"/>
          <w:sz w:val="20"/>
        </w:rPr>
        <w:t>Debt</w:t>
      </w:r>
      <w:proofErr w:type="spellEnd"/>
      <w:r>
        <w:rPr>
          <w:rFonts w:ascii="Gotham Book" w:hAnsi="Gotham Book"/>
          <w:sz w:val="20"/>
        </w:rPr>
        <w:t xml:space="preserve"> </w:t>
      </w:r>
      <w:proofErr w:type="spellStart"/>
      <w:r>
        <w:rPr>
          <w:rFonts w:ascii="Gotham Book" w:hAnsi="Gotham Book"/>
          <w:sz w:val="20"/>
        </w:rPr>
        <w:t>Securities</w:t>
      </w:r>
      <w:proofErr w:type="spellEnd"/>
      <w:r>
        <w:rPr>
          <w:rFonts w:ascii="Gotham Book" w:hAnsi="Gotham Book"/>
          <w:sz w:val="20"/>
        </w:rPr>
        <w:t xml:space="preserve">; </w:t>
      </w:r>
      <w:r w:rsidRPr="00A44AE4">
        <w:rPr>
          <w:rFonts w:ascii="Gotham Book" w:hAnsi="Gotham Book"/>
          <w:sz w:val="20"/>
        </w:rPr>
        <w:t xml:space="preserve">het zijn niet de effectenrekeningen zelf die gerapporteerd moeten worden, maar de beleggingen die op de effectenrekeningen staan in BBA Shares of BBA </w:t>
      </w:r>
      <w:proofErr w:type="spellStart"/>
      <w:r w:rsidRPr="00A44AE4">
        <w:rPr>
          <w:rFonts w:ascii="Gotham Book" w:hAnsi="Gotham Book"/>
          <w:sz w:val="20"/>
        </w:rPr>
        <w:t>Debt</w:t>
      </w:r>
      <w:proofErr w:type="spellEnd"/>
      <w:r w:rsidRPr="00A44AE4">
        <w:rPr>
          <w:rFonts w:ascii="Gotham Book" w:hAnsi="Gotham Book"/>
          <w:sz w:val="20"/>
        </w:rPr>
        <w:t xml:space="preserve"> </w:t>
      </w:r>
      <w:proofErr w:type="spellStart"/>
      <w:r w:rsidRPr="00A44AE4">
        <w:rPr>
          <w:rFonts w:ascii="Gotham Book" w:hAnsi="Gotham Book"/>
          <w:sz w:val="20"/>
        </w:rPr>
        <w:t>Securities</w:t>
      </w:r>
      <w:proofErr w:type="spellEnd"/>
      <w:r>
        <w:rPr>
          <w:rFonts w:ascii="Gotham Book" w:hAnsi="Gotham Book"/>
          <w:sz w:val="20"/>
        </w:rPr>
        <w:t>)</w:t>
      </w:r>
    </w:p>
    <w:p w14:paraId="3A977227"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juiste categorie bepaald werd in “CAT_INSTR1”</w:t>
      </w:r>
    </w:p>
    <w:p w14:paraId="5F030A3F"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Vaststellen dat voor elke spaarrekening “ESA_INSTR” “F.29” werd ingegeven</w:t>
      </w:r>
    </w:p>
    <w:p w14:paraId="12AD090D"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Vaststellen dat voor elke zichtrekening “ESA_INSTR” “F.22” werd ingegeven</w:t>
      </w:r>
    </w:p>
    <w:p w14:paraId="1340FC5C"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3F1E1795" w14:textId="77777777" w:rsidR="00A51BC7" w:rsidRPr="00831587" w:rsidRDefault="00A51BC7" w:rsidP="00A51BC7">
      <w:pPr>
        <w:ind w:left="1080"/>
      </w:pPr>
    </w:p>
    <w:p w14:paraId="007B97E2" w14:textId="77777777" w:rsidR="00A51BC7" w:rsidRDefault="00A51BC7" w:rsidP="00A51BC7">
      <w:pPr>
        <w:pStyle w:val="ListParagraph"/>
        <w:numPr>
          <w:ilvl w:val="0"/>
          <w:numId w:val="2"/>
        </w:numPr>
        <w:spacing w:after="200" w:line="276" w:lineRule="auto"/>
        <w:rPr>
          <w:rFonts w:ascii="Gotham Book" w:hAnsi="Gotham Book"/>
          <w:b/>
          <w:bCs/>
          <w:sz w:val="20"/>
          <w:lang w:val="en-GB"/>
        </w:rPr>
      </w:pPr>
      <w:r w:rsidRPr="00831587">
        <w:rPr>
          <w:rFonts w:ascii="Gotham Book" w:hAnsi="Gotham Book"/>
          <w:b/>
          <w:bCs/>
          <w:sz w:val="20"/>
          <w:lang w:val="en-GB"/>
        </w:rPr>
        <w:t>BBA Debt Securities</w:t>
      </w:r>
    </w:p>
    <w:p w14:paraId="207E6A08" w14:textId="77777777" w:rsidR="00A51BC7" w:rsidRPr="006663DB" w:rsidRDefault="00A51BC7" w:rsidP="00A51BC7">
      <w:pPr>
        <w:pStyle w:val="ListParagraph"/>
        <w:rPr>
          <w:rFonts w:ascii="Gotham Book" w:hAnsi="Gotham Book"/>
          <w:i/>
          <w:iCs/>
          <w:sz w:val="20"/>
          <w:szCs w:val="20"/>
        </w:rPr>
      </w:pPr>
      <w:r w:rsidRPr="006663DB">
        <w:rPr>
          <w:rFonts w:ascii="Gotham Book" w:hAnsi="Gotham Book"/>
          <w:i/>
          <w:iCs/>
          <w:sz w:val="20"/>
          <w:szCs w:val="20"/>
        </w:rPr>
        <w:t xml:space="preserve">BBA </w:t>
      </w:r>
      <w:proofErr w:type="spellStart"/>
      <w:r w:rsidRPr="006663DB">
        <w:rPr>
          <w:rFonts w:ascii="Gotham Book" w:hAnsi="Gotham Book"/>
          <w:i/>
          <w:iCs/>
          <w:sz w:val="20"/>
          <w:szCs w:val="20"/>
        </w:rPr>
        <w:t>Debt</w:t>
      </w:r>
      <w:proofErr w:type="spellEnd"/>
      <w:r w:rsidRPr="006663DB">
        <w:rPr>
          <w:rFonts w:ascii="Gotham Book" w:hAnsi="Gotham Book"/>
          <w:i/>
          <w:iCs/>
          <w:sz w:val="20"/>
          <w:szCs w:val="20"/>
        </w:rPr>
        <w:t xml:space="preserve"> </w:t>
      </w:r>
      <w:proofErr w:type="spellStart"/>
      <w:r w:rsidRPr="006663DB">
        <w:rPr>
          <w:rFonts w:ascii="Gotham Book" w:hAnsi="Gotham Book"/>
          <w:i/>
          <w:iCs/>
          <w:sz w:val="20"/>
          <w:szCs w:val="20"/>
        </w:rPr>
        <w:t>Securities</w:t>
      </w:r>
      <w:proofErr w:type="spellEnd"/>
      <w:r w:rsidRPr="006663DB">
        <w:rPr>
          <w:rFonts w:ascii="Gotham Book" w:hAnsi="Gotham Book"/>
          <w:i/>
          <w:iCs/>
          <w:sz w:val="20"/>
          <w:szCs w:val="20"/>
        </w:rPr>
        <w:t xml:space="preserve"> zijn verhandelbare schuldinstrumenten met ISIN-code waarvan de entiteit de coupons ontvangt (belegging).</w:t>
      </w:r>
    </w:p>
    <w:p w14:paraId="2CB67FD6"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is ingevuld</w:t>
      </w:r>
    </w:p>
    <w:p w14:paraId="70530C4B"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alle rekeningen zijn opgenomen in de BB </w:t>
      </w:r>
    </w:p>
    <w:p w14:paraId="3D0B8FBF"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7F96633B"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“ISIN_CODE” correct werd ingevuld</w:t>
      </w:r>
    </w:p>
    <w:p w14:paraId="4769CE43"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juiste categorie bepaald werd in “ESA_INSTR”</w:t>
      </w:r>
    </w:p>
    <w:p w14:paraId="411AB5AF"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Kortlopende effecten (kleiner of gelijk aan 1 jaar): “F.31”</w:t>
      </w:r>
    </w:p>
    <w:p w14:paraId="38B8D025"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Langlopende effecten (meer dan 1 jaar: “F.32”</w:t>
      </w:r>
    </w:p>
    <w:p w14:paraId="2515DF8E" w14:textId="77777777" w:rsidR="00A51BC7" w:rsidRPr="009D7CF3"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532E0255" w14:textId="77777777" w:rsidR="00A51BC7" w:rsidRDefault="00A51BC7" w:rsidP="00A51BC7">
      <w:r>
        <w:br w:type="page"/>
      </w:r>
    </w:p>
    <w:p w14:paraId="271C561D" w14:textId="77777777" w:rsidR="00A51BC7" w:rsidRPr="00831587" w:rsidRDefault="00A51BC7" w:rsidP="00A51BC7">
      <w:pPr>
        <w:ind w:left="1080"/>
      </w:pPr>
    </w:p>
    <w:p w14:paraId="05206B35" w14:textId="77777777" w:rsidR="00A51BC7" w:rsidRDefault="00A51BC7" w:rsidP="00A51BC7">
      <w:pPr>
        <w:pStyle w:val="ListParagraph"/>
        <w:numPr>
          <w:ilvl w:val="0"/>
          <w:numId w:val="2"/>
        </w:numPr>
        <w:spacing w:after="200" w:line="276" w:lineRule="auto"/>
        <w:rPr>
          <w:rFonts w:ascii="Gotham Book" w:hAnsi="Gotham Book"/>
          <w:b/>
          <w:bCs/>
          <w:sz w:val="20"/>
          <w:lang w:val="en-GB"/>
        </w:rPr>
      </w:pPr>
      <w:r w:rsidRPr="00831587">
        <w:rPr>
          <w:rFonts w:ascii="Gotham Book" w:hAnsi="Gotham Book"/>
          <w:b/>
          <w:bCs/>
          <w:sz w:val="20"/>
          <w:lang w:val="en-GB"/>
        </w:rPr>
        <w:t>BBA Loans</w:t>
      </w:r>
    </w:p>
    <w:p w14:paraId="47BD8D78" w14:textId="77777777" w:rsidR="00A51BC7" w:rsidRPr="006663DB" w:rsidRDefault="00A51BC7" w:rsidP="00A51BC7">
      <w:pPr>
        <w:pStyle w:val="ListParagraph"/>
        <w:rPr>
          <w:rFonts w:ascii="Gotham Book" w:hAnsi="Gotham Book"/>
          <w:i/>
          <w:iCs/>
          <w:sz w:val="20"/>
          <w:szCs w:val="20"/>
        </w:rPr>
      </w:pPr>
      <w:r w:rsidRPr="006663DB">
        <w:rPr>
          <w:rFonts w:ascii="Gotham Book" w:hAnsi="Gotham Book"/>
          <w:i/>
          <w:iCs/>
          <w:sz w:val="20"/>
          <w:szCs w:val="20"/>
        </w:rPr>
        <w:t xml:space="preserve">BBA </w:t>
      </w:r>
      <w:proofErr w:type="spellStart"/>
      <w:r w:rsidRPr="006663DB">
        <w:rPr>
          <w:rFonts w:ascii="Gotham Book" w:hAnsi="Gotham Book"/>
          <w:i/>
          <w:iCs/>
          <w:sz w:val="20"/>
          <w:szCs w:val="20"/>
        </w:rPr>
        <w:t>Loans</w:t>
      </w:r>
      <w:proofErr w:type="spellEnd"/>
      <w:r w:rsidRPr="006663DB">
        <w:rPr>
          <w:rFonts w:ascii="Gotham Book" w:hAnsi="Gotham Book"/>
          <w:i/>
          <w:iCs/>
          <w:sz w:val="20"/>
          <w:szCs w:val="20"/>
        </w:rPr>
        <w:t xml:space="preserve"> zijn leningen (zonder ISIN-code) waarvan de entiteit de coupons ontvangt (belegging).</w:t>
      </w:r>
    </w:p>
    <w:p w14:paraId="4DE91DCB"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is ingevuld</w:t>
      </w:r>
    </w:p>
    <w:p w14:paraId="0328CF7D"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alle rekeningen zijn opgenomen in de BB </w:t>
      </w:r>
    </w:p>
    <w:p w14:paraId="4FACA09D"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2C9A7557"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juiste categorie bepaald werd in “ESA_INSTR”</w:t>
      </w:r>
    </w:p>
    <w:p w14:paraId="3C944DF7"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Kortlopende leningen (kleiner of gelijk aan 1 jaar): “F.41”</w:t>
      </w:r>
    </w:p>
    <w:p w14:paraId="207FE1E3"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Langlopende leningen (meer dan 1 jaar: “F.42”</w:t>
      </w:r>
    </w:p>
    <w:p w14:paraId="65097D2E"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de waarde voor </w:t>
      </w:r>
      <w:proofErr w:type="spellStart"/>
      <w:r>
        <w:rPr>
          <w:rFonts w:ascii="Gotham Book" w:hAnsi="Gotham Book"/>
          <w:sz w:val="20"/>
        </w:rPr>
        <w:t>Nominal</w:t>
      </w:r>
      <w:proofErr w:type="spellEnd"/>
      <w:r>
        <w:rPr>
          <w:rFonts w:ascii="Gotham Book" w:hAnsi="Gotham Book"/>
          <w:sz w:val="20"/>
        </w:rPr>
        <w:t xml:space="preserve"> gelijk is aan de Face vermeerderd met de verlopen interest</w:t>
      </w:r>
    </w:p>
    <w:p w14:paraId="381444FF" w14:textId="77777777" w:rsidR="00A51BC7" w:rsidRPr="009D7CF3"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7CA7CB11" w14:textId="77777777" w:rsidR="00A51BC7" w:rsidRPr="00831587" w:rsidRDefault="00A51BC7" w:rsidP="00A51BC7">
      <w:pPr>
        <w:ind w:left="1080"/>
      </w:pPr>
    </w:p>
    <w:p w14:paraId="4C26429C" w14:textId="77777777" w:rsidR="00A51BC7" w:rsidRPr="00831587" w:rsidRDefault="00A51BC7" w:rsidP="00A51BC7">
      <w:pPr>
        <w:pStyle w:val="ListParagraph"/>
        <w:rPr>
          <w:rFonts w:ascii="Gotham Book" w:hAnsi="Gotham Book"/>
          <w:sz w:val="20"/>
        </w:rPr>
      </w:pPr>
    </w:p>
    <w:p w14:paraId="72D64930" w14:textId="77777777" w:rsidR="00A51BC7" w:rsidRPr="006663DB" w:rsidRDefault="00A51BC7" w:rsidP="00A51BC7">
      <w:pPr>
        <w:pStyle w:val="ListParagraph"/>
        <w:numPr>
          <w:ilvl w:val="0"/>
          <w:numId w:val="2"/>
        </w:numPr>
        <w:spacing w:after="200" w:line="276" w:lineRule="auto"/>
        <w:rPr>
          <w:rFonts w:ascii="Gotham Book" w:hAnsi="Gotham Book"/>
          <w:b/>
          <w:bCs/>
          <w:sz w:val="20"/>
          <w:lang w:val="en-GB"/>
        </w:rPr>
      </w:pPr>
      <w:r w:rsidRPr="006663DB">
        <w:rPr>
          <w:rFonts w:ascii="Gotham Book" w:hAnsi="Gotham Book"/>
          <w:b/>
          <w:bCs/>
          <w:sz w:val="20"/>
          <w:lang w:val="en-GB"/>
        </w:rPr>
        <w:t>BBA Shares</w:t>
      </w:r>
    </w:p>
    <w:p w14:paraId="21C2B392" w14:textId="77777777" w:rsidR="00A51BC7" w:rsidRPr="006663DB" w:rsidRDefault="00A51BC7" w:rsidP="00A51BC7">
      <w:pPr>
        <w:pStyle w:val="ListParagraph"/>
        <w:rPr>
          <w:rFonts w:ascii="Gotham Book" w:hAnsi="Gotham Book"/>
          <w:i/>
          <w:iCs/>
          <w:sz w:val="20"/>
          <w:szCs w:val="20"/>
        </w:rPr>
      </w:pPr>
      <w:r w:rsidRPr="006663DB">
        <w:rPr>
          <w:rFonts w:ascii="Gotham Book" w:hAnsi="Gotham Book"/>
          <w:i/>
          <w:iCs/>
          <w:sz w:val="20"/>
          <w:szCs w:val="20"/>
        </w:rPr>
        <w:t>BBA Shares zijn aandelen al dan niet beursgenoteerd, andere participaties en deelnemingen in beleggingsfondsen.</w:t>
      </w:r>
    </w:p>
    <w:p w14:paraId="456FA8B4"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is ingevuld</w:t>
      </w:r>
    </w:p>
    <w:p w14:paraId="67A7D1DD"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alle rekeningen zijn opgenomen in de BB </w:t>
      </w:r>
    </w:p>
    <w:p w14:paraId="2C2AE846"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051D88DE"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beleggingsfondsen altijd gerapporteerd zijn onder BBA Shares (los van de onderliggende beleggingen)</w:t>
      </w:r>
    </w:p>
    <w:p w14:paraId="59187268"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19E9DDBE" w14:textId="77777777" w:rsidR="00A51BC7" w:rsidRPr="006663DB" w:rsidRDefault="00A51BC7" w:rsidP="00A51BC7"/>
    <w:p w14:paraId="3BEC9352" w14:textId="77777777" w:rsidR="00A51BC7" w:rsidRPr="006663DB" w:rsidRDefault="00A51BC7" w:rsidP="00A51BC7">
      <w:pPr>
        <w:pStyle w:val="ListParagraph"/>
        <w:numPr>
          <w:ilvl w:val="0"/>
          <w:numId w:val="2"/>
        </w:numPr>
        <w:spacing w:after="200" w:line="276" w:lineRule="auto"/>
        <w:rPr>
          <w:rFonts w:ascii="Gotham Book" w:hAnsi="Gotham Book"/>
          <w:b/>
          <w:bCs/>
          <w:sz w:val="20"/>
        </w:rPr>
      </w:pPr>
      <w:r w:rsidRPr="006663DB">
        <w:rPr>
          <w:rFonts w:ascii="Gotham Book" w:hAnsi="Gotham Book"/>
          <w:b/>
          <w:bCs/>
          <w:sz w:val="20"/>
        </w:rPr>
        <w:t xml:space="preserve">BBX </w:t>
      </w:r>
      <w:proofErr w:type="spellStart"/>
      <w:r w:rsidRPr="006663DB">
        <w:rPr>
          <w:rFonts w:ascii="Gotham Book" w:hAnsi="Gotham Book"/>
          <w:b/>
          <w:bCs/>
          <w:sz w:val="20"/>
        </w:rPr>
        <w:t>Derivatives</w:t>
      </w:r>
      <w:proofErr w:type="spellEnd"/>
    </w:p>
    <w:p w14:paraId="7DDC8DB2" w14:textId="77777777" w:rsidR="00A51BC7" w:rsidRPr="006663DB" w:rsidRDefault="00A51BC7" w:rsidP="00A51BC7">
      <w:pPr>
        <w:pStyle w:val="ListParagraph"/>
        <w:rPr>
          <w:rFonts w:ascii="Gotham Book" w:hAnsi="Gotham Book"/>
          <w:i/>
          <w:iCs/>
          <w:sz w:val="20"/>
          <w:szCs w:val="20"/>
        </w:rPr>
      </w:pPr>
      <w:r w:rsidRPr="006663DB">
        <w:rPr>
          <w:rFonts w:ascii="Gotham Book" w:hAnsi="Gotham Book"/>
          <w:i/>
          <w:iCs/>
          <w:sz w:val="20"/>
          <w:szCs w:val="20"/>
        </w:rPr>
        <w:t xml:space="preserve">BBX </w:t>
      </w:r>
      <w:proofErr w:type="spellStart"/>
      <w:r w:rsidRPr="006663DB">
        <w:rPr>
          <w:rFonts w:ascii="Gotham Book" w:hAnsi="Gotham Book"/>
          <w:i/>
          <w:iCs/>
          <w:sz w:val="20"/>
          <w:szCs w:val="20"/>
        </w:rPr>
        <w:t>Derivatives</w:t>
      </w:r>
      <w:proofErr w:type="spellEnd"/>
      <w:r w:rsidRPr="006663DB">
        <w:rPr>
          <w:rFonts w:ascii="Gotham Book" w:hAnsi="Gotham Book"/>
          <w:i/>
          <w:iCs/>
          <w:sz w:val="20"/>
          <w:szCs w:val="20"/>
        </w:rPr>
        <w:t xml:space="preserve"> is een Building Block omtrent afgeleide producten (opties, swaps en forward </w:t>
      </w:r>
      <w:proofErr w:type="spellStart"/>
      <w:r w:rsidRPr="006663DB">
        <w:rPr>
          <w:rFonts w:ascii="Gotham Book" w:hAnsi="Gotham Book"/>
          <w:i/>
          <w:iCs/>
          <w:sz w:val="20"/>
          <w:szCs w:val="20"/>
        </w:rPr>
        <w:t>contracts</w:t>
      </w:r>
      <w:proofErr w:type="spellEnd"/>
      <w:r w:rsidRPr="006663DB">
        <w:rPr>
          <w:rFonts w:ascii="Gotham Book" w:hAnsi="Gotham Book"/>
          <w:i/>
          <w:iCs/>
          <w:sz w:val="20"/>
          <w:szCs w:val="20"/>
        </w:rPr>
        <w:t>) en is op de meeste Vlaamse S.1312 entiteiten niet van toepassing.</w:t>
      </w:r>
    </w:p>
    <w:p w14:paraId="1134EEDC" w14:textId="77777777" w:rsidR="00A51BC7" w:rsidRPr="006663DB" w:rsidRDefault="00A51BC7" w:rsidP="00A51BC7">
      <w:pPr>
        <w:pStyle w:val="ListParagraph"/>
        <w:rPr>
          <w:rFonts w:ascii="Gotham Book" w:hAnsi="Gotham Book"/>
          <w:sz w:val="20"/>
          <w:szCs w:val="20"/>
        </w:rPr>
      </w:pPr>
      <w:r w:rsidRPr="006663DB">
        <w:rPr>
          <w:rFonts w:ascii="Gotham Book" w:hAnsi="Gotham Book"/>
          <w:sz w:val="20"/>
          <w:szCs w:val="20"/>
        </w:rPr>
        <w:t xml:space="preserve">De bedrijfsrevisoren dienen deze Building Block niet te controleren. </w:t>
      </w:r>
    </w:p>
    <w:p w14:paraId="36BC37E1" w14:textId="77777777" w:rsidR="00A51BC7" w:rsidRPr="006663DB" w:rsidRDefault="00A51BC7" w:rsidP="00A51BC7">
      <w:pPr>
        <w:pStyle w:val="ListParagraph"/>
        <w:numPr>
          <w:ilvl w:val="1"/>
          <w:numId w:val="2"/>
        </w:numPr>
        <w:spacing w:after="200" w:line="276" w:lineRule="auto"/>
        <w:rPr>
          <w:rFonts w:ascii="Gotham Book" w:hAnsi="Gotham Book"/>
          <w:sz w:val="20"/>
          <w:szCs w:val="20"/>
        </w:rPr>
      </w:pPr>
      <w:r w:rsidRPr="006663DB">
        <w:rPr>
          <w:rFonts w:ascii="Gotham Book" w:hAnsi="Gotham Book"/>
          <w:sz w:val="20"/>
          <w:szCs w:val="20"/>
        </w:rPr>
        <w:t xml:space="preserve">Indien de entiteit openstaande opties, swaps of forward </w:t>
      </w:r>
      <w:proofErr w:type="spellStart"/>
      <w:r w:rsidRPr="006663DB">
        <w:rPr>
          <w:rFonts w:ascii="Gotham Book" w:hAnsi="Gotham Book"/>
          <w:sz w:val="20"/>
          <w:szCs w:val="20"/>
        </w:rPr>
        <w:t>contracts</w:t>
      </w:r>
      <w:proofErr w:type="spellEnd"/>
      <w:r w:rsidRPr="006663DB">
        <w:rPr>
          <w:rFonts w:ascii="Gotham Book" w:hAnsi="Gotham Book"/>
          <w:sz w:val="20"/>
          <w:szCs w:val="20"/>
        </w:rPr>
        <w:t xml:space="preserve"> heeft op het einde van het boekjaar, dan volstaat het dat de bedrijfsvisor aan </w:t>
      </w:r>
      <w:hyperlink r:id="rId7" w:history="1">
        <w:r w:rsidRPr="006663DB">
          <w:rPr>
            <w:rStyle w:val="Hyperlink"/>
            <w:rFonts w:ascii="Gotham Book" w:hAnsi="Gotham Book"/>
            <w:sz w:val="20"/>
            <w:szCs w:val="20"/>
          </w:rPr>
          <w:t>rechtspersonen@vlaanderen.be</w:t>
        </w:r>
      </w:hyperlink>
      <w:r w:rsidRPr="006663DB">
        <w:rPr>
          <w:rFonts w:ascii="Gotham Book" w:hAnsi="Gotham Book"/>
          <w:sz w:val="20"/>
          <w:szCs w:val="20"/>
        </w:rPr>
        <w:t xml:space="preserve"> laat weten dat de entiteit afgeleide producten heeft.</w:t>
      </w:r>
    </w:p>
    <w:p w14:paraId="6DB870ED" w14:textId="77777777" w:rsidR="00A51BC7" w:rsidRDefault="00A51BC7" w:rsidP="00A51BC7">
      <w:r>
        <w:br w:type="page"/>
      </w:r>
    </w:p>
    <w:p w14:paraId="57D12B28" w14:textId="77777777" w:rsidR="00A51BC7" w:rsidRDefault="00A51BC7" w:rsidP="00A51BC7"/>
    <w:p w14:paraId="0E718F80" w14:textId="77777777" w:rsidR="00A51BC7" w:rsidRPr="005C4E58" w:rsidRDefault="00A51BC7" w:rsidP="00A51BC7">
      <w:pPr>
        <w:pStyle w:val="ListParagraph"/>
        <w:numPr>
          <w:ilvl w:val="0"/>
          <w:numId w:val="2"/>
        </w:numPr>
        <w:spacing w:after="200" w:line="276" w:lineRule="auto"/>
        <w:rPr>
          <w:rFonts w:ascii="Gotham Book" w:hAnsi="Gotham Book"/>
          <w:b/>
          <w:bCs/>
          <w:sz w:val="20"/>
        </w:rPr>
      </w:pPr>
      <w:r w:rsidRPr="005C4E58">
        <w:rPr>
          <w:rFonts w:ascii="Gotham Book" w:hAnsi="Gotham Book"/>
          <w:b/>
          <w:bCs/>
          <w:sz w:val="20"/>
        </w:rPr>
        <w:t xml:space="preserve">BBA Trade &amp; </w:t>
      </w:r>
      <w:proofErr w:type="spellStart"/>
      <w:r w:rsidRPr="005C4E58">
        <w:rPr>
          <w:rFonts w:ascii="Gotham Book" w:hAnsi="Gotham Book"/>
          <w:b/>
          <w:bCs/>
          <w:sz w:val="20"/>
        </w:rPr>
        <w:t>Other</w:t>
      </w:r>
      <w:proofErr w:type="spellEnd"/>
      <w:r w:rsidRPr="005C4E58">
        <w:rPr>
          <w:rFonts w:ascii="Gotham Book" w:hAnsi="Gotham Book"/>
          <w:b/>
          <w:bCs/>
          <w:sz w:val="20"/>
        </w:rPr>
        <w:t xml:space="preserve"> </w:t>
      </w:r>
      <w:proofErr w:type="spellStart"/>
      <w:r w:rsidRPr="005C4E58">
        <w:rPr>
          <w:rFonts w:ascii="Gotham Book" w:hAnsi="Gotham Book"/>
          <w:b/>
          <w:bCs/>
          <w:sz w:val="20"/>
        </w:rPr>
        <w:t>Receivables</w:t>
      </w:r>
      <w:proofErr w:type="spellEnd"/>
      <w:r>
        <w:rPr>
          <w:rFonts w:ascii="Gotham Book" w:hAnsi="Gotham Book"/>
          <w:b/>
          <w:bCs/>
          <w:sz w:val="20"/>
        </w:rPr>
        <w:t xml:space="preserve"> </w:t>
      </w:r>
      <w:r>
        <w:rPr>
          <w:rFonts w:ascii="Gotham Book" w:hAnsi="Gotham Book"/>
          <w:i/>
          <w:iCs/>
          <w:sz w:val="20"/>
        </w:rPr>
        <w:t>(d</w:t>
      </w:r>
      <w:r w:rsidRPr="009D7CF3">
        <w:rPr>
          <w:rFonts w:ascii="Gotham Book" w:hAnsi="Gotham Book"/>
          <w:i/>
          <w:iCs/>
          <w:sz w:val="20"/>
        </w:rPr>
        <w:t xml:space="preserve">eze BB moet niet in detail ingevuld worden maar mag in blok gerapporteerd worden (per unieke ESA_INSTRUMENT </w:t>
      </w:r>
      <w:r>
        <w:rPr>
          <w:rFonts w:ascii="Gotham Book" w:hAnsi="Gotham Book"/>
          <w:i/>
          <w:iCs/>
          <w:sz w:val="20"/>
        </w:rPr>
        <w:t xml:space="preserve">- </w:t>
      </w:r>
      <w:r w:rsidRPr="009D7CF3">
        <w:rPr>
          <w:rFonts w:ascii="Gotham Book" w:hAnsi="Gotham Book"/>
          <w:i/>
          <w:iCs/>
          <w:sz w:val="20"/>
        </w:rPr>
        <w:t xml:space="preserve"> ESA_COUNTERPARTY </w:t>
      </w:r>
      <w:r>
        <w:rPr>
          <w:rFonts w:ascii="Gotham Book" w:hAnsi="Gotham Book"/>
          <w:i/>
          <w:iCs/>
          <w:sz w:val="20"/>
        </w:rPr>
        <w:t xml:space="preserve"> - CATEGORY INSTRUMENT 2 </w:t>
      </w:r>
      <w:r w:rsidRPr="009D7CF3">
        <w:rPr>
          <w:rFonts w:ascii="Gotham Book" w:hAnsi="Gotham Book"/>
          <w:i/>
          <w:iCs/>
          <w:sz w:val="20"/>
        </w:rPr>
        <w:t>combinatie)</w:t>
      </w:r>
    </w:p>
    <w:p w14:paraId="359ADF8B" w14:textId="77777777" w:rsidR="00A51BC7" w:rsidRPr="005C4E58" w:rsidRDefault="00A51BC7" w:rsidP="00A51BC7">
      <w:pPr>
        <w:pStyle w:val="ListParagraph"/>
        <w:rPr>
          <w:rFonts w:ascii="Gotham Book" w:hAnsi="Gotham Book"/>
          <w:sz w:val="20"/>
          <w:szCs w:val="20"/>
        </w:rPr>
      </w:pPr>
      <w:r w:rsidRPr="005C4E58">
        <w:rPr>
          <w:rFonts w:ascii="Gotham Book" w:hAnsi="Gotham Book"/>
          <w:sz w:val="20"/>
          <w:szCs w:val="20"/>
        </w:rPr>
        <w:t xml:space="preserve">In de BBA Trade &amp; </w:t>
      </w:r>
      <w:proofErr w:type="spellStart"/>
      <w:r w:rsidRPr="005C4E58">
        <w:rPr>
          <w:rFonts w:ascii="Gotham Book" w:hAnsi="Gotham Book"/>
          <w:sz w:val="20"/>
          <w:szCs w:val="20"/>
        </w:rPr>
        <w:t>Other</w:t>
      </w:r>
      <w:proofErr w:type="spellEnd"/>
      <w:r w:rsidRPr="005C4E58">
        <w:rPr>
          <w:rFonts w:ascii="Gotham Book" w:hAnsi="Gotham Book"/>
          <w:sz w:val="20"/>
          <w:szCs w:val="20"/>
        </w:rPr>
        <w:t xml:space="preserve"> </w:t>
      </w:r>
      <w:proofErr w:type="spellStart"/>
      <w:r w:rsidRPr="005C4E58">
        <w:rPr>
          <w:rFonts w:ascii="Gotham Book" w:hAnsi="Gotham Book"/>
          <w:sz w:val="20"/>
          <w:szCs w:val="20"/>
        </w:rPr>
        <w:t>Receivables</w:t>
      </w:r>
      <w:proofErr w:type="spellEnd"/>
      <w:r w:rsidRPr="005C4E58">
        <w:rPr>
          <w:rFonts w:ascii="Gotham Book" w:hAnsi="Gotham Book"/>
          <w:sz w:val="20"/>
          <w:szCs w:val="20"/>
        </w:rPr>
        <w:t xml:space="preserve"> dienen de handelsvorderingen gerapporteerd te worden evenals de overige vorderingen die niet opgenomen werden in de andere </w:t>
      </w:r>
      <w:proofErr w:type="spellStart"/>
      <w:r w:rsidRPr="005C4E58">
        <w:rPr>
          <w:rFonts w:ascii="Gotham Book" w:hAnsi="Gotham Book"/>
          <w:sz w:val="20"/>
          <w:szCs w:val="20"/>
        </w:rPr>
        <w:t>BBA’s</w:t>
      </w:r>
      <w:proofErr w:type="spellEnd"/>
      <w:r w:rsidRPr="005C4E58">
        <w:rPr>
          <w:rFonts w:ascii="Gotham Book" w:hAnsi="Gotham Book"/>
          <w:sz w:val="20"/>
          <w:szCs w:val="20"/>
        </w:rPr>
        <w:t>.</w:t>
      </w:r>
    </w:p>
    <w:p w14:paraId="117E9A43"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is ingevuld</w:t>
      </w:r>
    </w:p>
    <w:p w14:paraId="40F0A9BF"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alle rekeningen zijn opgenomen in de BB </w:t>
      </w:r>
    </w:p>
    <w:p w14:paraId="6BACE112"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624363D3" w14:textId="77777777" w:rsidR="00A51BC7" w:rsidRDefault="00A51BC7" w:rsidP="00A51BC7"/>
    <w:p w14:paraId="4E599242" w14:textId="77777777" w:rsidR="00A51BC7" w:rsidRPr="005A35DC" w:rsidRDefault="00A51BC7" w:rsidP="00A51BC7">
      <w:pPr>
        <w:pStyle w:val="ListParagraph"/>
        <w:numPr>
          <w:ilvl w:val="0"/>
          <w:numId w:val="2"/>
        </w:numPr>
        <w:spacing w:after="200" w:line="276" w:lineRule="auto"/>
        <w:rPr>
          <w:rFonts w:ascii="Gotham Book" w:hAnsi="Gotham Book"/>
          <w:b/>
          <w:bCs/>
          <w:sz w:val="20"/>
        </w:rPr>
      </w:pPr>
      <w:r w:rsidRPr="005A35DC">
        <w:rPr>
          <w:rFonts w:ascii="Gotham Book" w:hAnsi="Gotham Book"/>
          <w:b/>
          <w:bCs/>
          <w:sz w:val="20"/>
        </w:rPr>
        <w:t xml:space="preserve">BBL </w:t>
      </w:r>
      <w:proofErr w:type="spellStart"/>
      <w:r w:rsidRPr="005A35DC">
        <w:rPr>
          <w:rFonts w:ascii="Gotham Book" w:hAnsi="Gotham Book"/>
          <w:b/>
          <w:bCs/>
          <w:sz w:val="20"/>
        </w:rPr>
        <w:t>Debt</w:t>
      </w:r>
      <w:proofErr w:type="spellEnd"/>
      <w:r w:rsidRPr="005A35DC">
        <w:rPr>
          <w:rFonts w:ascii="Gotham Book" w:hAnsi="Gotham Book"/>
          <w:b/>
          <w:bCs/>
          <w:sz w:val="20"/>
        </w:rPr>
        <w:t xml:space="preserve"> </w:t>
      </w:r>
      <w:proofErr w:type="spellStart"/>
      <w:r w:rsidRPr="005A35DC">
        <w:rPr>
          <w:rFonts w:ascii="Gotham Book" w:hAnsi="Gotham Book"/>
          <w:b/>
          <w:bCs/>
          <w:sz w:val="20"/>
        </w:rPr>
        <w:t>securities</w:t>
      </w:r>
      <w:proofErr w:type="spellEnd"/>
    </w:p>
    <w:p w14:paraId="5D4CCA70" w14:textId="77777777" w:rsidR="00A51BC7" w:rsidRPr="005A35DC" w:rsidRDefault="00A51BC7" w:rsidP="00A51BC7">
      <w:pPr>
        <w:pStyle w:val="ListParagraph"/>
        <w:rPr>
          <w:rFonts w:ascii="Gotham Book" w:hAnsi="Gotham Book"/>
          <w:sz w:val="20"/>
        </w:rPr>
      </w:pPr>
      <w:r>
        <w:rPr>
          <w:rFonts w:ascii="Gotham Book" w:hAnsi="Gotham Book"/>
          <w:i/>
          <w:iCs/>
          <w:sz w:val="20"/>
        </w:rPr>
        <w:t>(d</w:t>
      </w:r>
      <w:r w:rsidRPr="009D7CF3">
        <w:rPr>
          <w:rFonts w:ascii="Gotham Book" w:hAnsi="Gotham Book"/>
          <w:i/>
          <w:iCs/>
          <w:sz w:val="20"/>
        </w:rPr>
        <w:t>eze BB moet niet in detail ingevuld worden maar mag in blok gerapporteerd worden (per unieke ESA_INSTRUMENT &amp; ESA_COUNTERPARTY combinatie)</w:t>
      </w:r>
    </w:p>
    <w:p w14:paraId="65FF0A12" w14:textId="77777777" w:rsidR="00A51BC7" w:rsidRPr="005A35DC" w:rsidRDefault="00A51BC7" w:rsidP="00A51BC7">
      <w:pPr>
        <w:ind w:left="708"/>
        <w:rPr>
          <w:i/>
          <w:iCs/>
        </w:rPr>
      </w:pPr>
      <w:r w:rsidRPr="005A35DC">
        <w:rPr>
          <w:i/>
          <w:iCs/>
        </w:rPr>
        <w:t>BBL Debt Securities zijn verhandelbare schuldinstrumenten met ISIN-code</w:t>
      </w:r>
      <w:r w:rsidRPr="005A35DC">
        <w:rPr>
          <w:i/>
          <w:iCs/>
          <w:color w:val="000000"/>
        </w:rPr>
        <w:t xml:space="preserve"> </w:t>
      </w:r>
      <w:r w:rsidRPr="005A35DC">
        <w:rPr>
          <w:i/>
          <w:iCs/>
        </w:rPr>
        <w:t>waarvan de entiteit de coupons betaalt (schuld).</w:t>
      </w:r>
    </w:p>
    <w:p w14:paraId="04323726" w14:textId="77777777" w:rsidR="00A51BC7" w:rsidRPr="005A35DC" w:rsidRDefault="00A51BC7" w:rsidP="00A51BC7">
      <w:pPr>
        <w:ind w:left="708"/>
        <w:rPr>
          <w:i/>
          <w:iCs/>
        </w:rPr>
      </w:pPr>
      <w:r w:rsidRPr="005A35DC">
        <w:rPr>
          <w:i/>
          <w:iCs/>
        </w:rPr>
        <w:t>BBL Debt Securities komen weinig voor bij de Vlaamse S.1312 entiteiten.</w:t>
      </w:r>
    </w:p>
    <w:p w14:paraId="157A61C8" w14:textId="77777777" w:rsidR="00A51BC7" w:rsidRPr="009D7CF3" w:rsidRDefault="00A51BC7" w:rsidP="00A51BC7">
      <w:pPr>
        <w:pStyle w:val="ListParagraph"/>
        <w:rPr>
          <w:rFonts w:ascii="Gotham Book" w:hAnsi="Gotham Book"/>
          <w:sz w:val="20"/>
        </w:rPr>
      </w:pPr>
    </w:p>
    <w:p w14:paraId="1305F93F"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of in blok is ingevuld</w:t>
      </w:r>
    </w:p>
    <w:p w14:paraId="67379337"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alle rekeningen zijn opgenomen in de BB</w:t>
      </w:r>
    </w:p>
    <w:p w14:paraId="5A17A10F"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578AB4DC"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juiste categorie bepaald werd in “ESA_INSTR”</w:t>
      </w:r>
    </w:p>
    <w:p w14:paraId="7F4931C9"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Kortlopende effecten (kleiner of gelijk aan 1 jaar): “F.31”</w:t>
      </w:r>
    </w:p>
    <w:p w14:paraId="3607F25E"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Langlopende effecten (meer dan 1 jaar: “F.32”</w:t>
      </w:r>
    </w:p>
    <w:p w14:paraId="69E9CDD9" w14:textId="77777777" w:rsidR="00A51BC7" w:rsidRPr="009D7CF3"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498AE588" w14:textId="77777777" w:rsidR="00A51BC7" w:rsidRPr="005A35DC" w:rsidRDefault="00A51BC7" w:rsidP="00A51BC7">
      <w:pPr>
        <w:ind w:left="1080"/>
      </w:pPr>
    </w:p>
    <w:p w14:paraId="70947B3A" w14:textId="77777777" w:rsidR="00A51BC7" w:rsidRPr="005A35DC" w:rsidRDefault="00A51BC7" w:rsidP="00A51BC7">
      <w:pPr>
        <w:pStyle w:val="ListParagraph"/>
        <w:numPr>
          <w:ilvl w:val="0"/>
          <w:numId w:val="2"/>
        </w:numPr>
        <w:spacing w:after="200" w:line="276" w:lineRule="auto"/>
        <w:rPr>
          <w:rFonts w:ascii="Gotham Book" w:hAnsi="Gotham Book"/>
          <w:b/>
          <w:bCs/>
          <w:sz w:val="20"/>
        </w:rPr>
      </w:pPr>
      <w:r w:rsidRPr="005A35DC">
        <w:rPr>
          <w:rFonts w:ascii="Gotham Book" w:hAnsi="Gotham Book"/>
          <w:b/>
          <w:bCs/>
          <w:sz w:val="20"/>
        </w:rPr>
        <w:t xml:space="preserve">BBL </w:t>
      </w:r>
      <w:proofErr w:type="spellStart"/>
      <w:r w:rsidRPr="005A35DC">
        <w:rPr>
          <w:rFonts w:ascii="Gotham Book" w:hAnsi="Gotham Book"/>
          <w:b/>
          <w:bCs/>
          <w:sz w:val="20"/>
        </w:rPr>
        <w:t>Loans</w:t>
      </w:r>
      <w:proofErr w:type="spellEnd"/>
    </w:p>
    <w:p w14:paraId="0B4864B2" w14:textId="77777777" w:rsidR="00A51BC7" w:rsidRPr="005A35DC" w:rsidRDefault="00A51BC7" w:rsidP="00A51BC7">
      <w:pPr>
        <w:pStyle w:val="ListParagraph"/>
        <w:rPr>
          <w:rFonts w:ascii="Gotham Book" w:hAnsi="Gotham Book"/>
          <w:i/>
          <w:iCs/>
          <w:sz w:val="20"/>
          <w:szCs w:val="20"/>
        </w:rPr>
      </w:pPr>
      <w:r w:rsidRPr="005A35DC">
        <w:rPr>
          <w:rFonts w:ascii="Gotham Book" w:hAnsi="Gotham Book"/>
          <w:i/>
          <w:iCs/>
          <w:sz w:val="20"/>
          <w:szCs w:val="20"/>
        </w:rPr>
        <w:t xml:space="preserve">BBL </w:t>
      </w:r>
      <w:proofErr w:type="spellStart"/>
      <w:r w:rsidRPr="005A35DC">
        <w:rPr>
          <w:rFonts w:ascii="Gotham Book" w:hAnsi="Gotham Book"/>
          <w:i/>
          <w:iCs/>
          <w:sz w:val="20"/>
          <w:szCs w:val="20"/>
        </w:rPr>
        <w:t>Loans</w:t>
      </w:r>
      <w:proofErr w:type="spellEnd"/>
      <w:r w:rsidRPr="005A35DC">
        <w:rPr>
          <w:rFonts w:ascii="Gotham Book" w:hAnsi="Gotham Book"/>
          <w:i/>
          <w:iCs/>
          <w:sz w:val="20"/>
          <w:szCs w:val="20"/>
        </w:rPr>
        <w:t xml:space="preserve"> zijn leningen (zonder ISIN-code) waarvan de entiteit de coupons betaalt (schuld).</w:t>
      </w:r>
    </w:p>
    <w:p w14:paraId="734BC79E" w14:textId="77777777" w:rsidR="00A51BC7" w:rsidRDefault="00A51BC7" w:rsidP="00A51BC7">
      <w:pPr>
        <w:pStyle w:val="ListParagraph"/>
        <w:rPr>
          <w:rFonts w:ascii="Gotham Book" w:hAnsi="Gotham Book"/>
          <w:sz w:val="20"/>
        </w:rPr>
      </w:pPr>
    </w:p>
    <w:p w14:paraId="3D35F920"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is ingevuld</w:t>
      </w:r>
    </w:p>
    <w:p w14:paraId="5AA31CDC"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alle rekeningen zijn opgenomen in de BB </w:t>
      </w:r>
    </w:p>
    <w:p w14:paraId="3E9714C4"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45046BCF"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juiste categorie bepaald werd in “ESA_INSTR”</w:t>
      </w:r>
    </w:p>
    <w:p w14:paraId="55A8BE69"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Kortlopende leningen (kleiner of gelijk aan 1 jaar): “F.41”</w:t>
      </w:r>
    </w:p>
    <w:p w14:paraId="459DB6A8" w14:textId="77777777" w:rsidR="00A51BC7" w:rsidRDefault="00A51BC7" w:rsidP="00A51BC7">
      <w:pPr>
        <w:pStyle w:val="ListParagraph"/>
        <w:numPr>
          <w:ilvl w:val="2"/>
          <w:numId w:val="2"/>
        </w:numPr>
        <w:spacing w:after="200" w:line="276" w:lineRule="auto"/>
        <w:rPr>
          <w:rFonts w:ascii="Gotham Book" w:hAnsi="Gotham Book"/>
          <w:sz w:val="20"/>
        </w:rPr>
      </w:pPr>
      <w:r>
        <w:rPr>
          <w:rFonts w:ascii="Gotham Book" w:hAnsi="Gotham Book"/>
          <w:sz w:val="20"/>
        </w:rPr>
        <w:t>Langlopende leningen (meer dan 1 jaar: “F.42”</w:t>
      </w:r>
    </w:p>
    <w:p w14:paraId="4E75362E"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01AC52D0" w14:textId="77777777" w:rsidR="00A51BC7" w:rsidRDefault="00A51BC7">
      <w:pPr>
        <w:widowControl/>
        <w:spacing w:after="200" w:line="276" w:lineRule="auto"/>
      </w:pPr>
      <w:r>
        <w:br w:type="page"/>
      </w:r>
    </w:p>
    <w:p w14:paraId="4AF1AFB5" w14:textId="77777777" w:rsidR="00A51BC7" w:rsidRDefault="00A51BC7" w:rsidP="00A51BC7"/>
    <w:p w14:paraId="34EE8ACC" w14:textId="77777777" w:rsidR="00A51BC7" w:rsidRPr="00AC2821" w:rsidRDefault="00A51BC7" w:rsidP="00A51BC7">
      <w:pPr>
        <w:pStyle w:val="ListParagraph"/>
        <w:numPr>
          <w:ilvl w:val="0"/>
          <w:numId w:val="2"/>
        </w:numPr>
        <w:spacing w:after="200" w:line="276" w:lineRule="auto"/>
        <w:rPr>
          <w:rFonts w:ascii="Gotham Book" w:hAnsi="Gotham Book"/>
          <w:b/>
          <w:bCs/>
          <w:sz w:val="20"/>
        </w:rPr>
      </w:pPr>
      <w:r w:rsidRPr="00AC2821">
        <w:rPr>
          <w:rFonts w:ascii="Gotham Book" w:hAnsi="Gotham Book"/>
          <w:b/>
          <w:bCs/>
          <w:sz w:val="20"/>
        </w:rPr>
        <w:t>BBL Shares</w:t>
      </w:r>
    </w:p>
    <w:p w14:paraId="3E4F8EFF" w14:textId="77777777" w:rsidR="00A51BC7" w:rsidRPr="005A35DC" w:rsidRDefault="00A51BC7" w:rsidP="00A51BC7">
      <w:pPr>
        <w:pStyle w:val="ListParagraph"/>
        <w:rPr>
          <w:rFonts w:ascii="Gotham Book" w:hAnsi="Gotham Book"/>
          <w:i/>
          <w:iCs/>
          <w:sz w:val="20"/>
          <w:szCs w:val="20"/>
        </w:rPr>
      </w:pPr>
      <w:r w:rsidRPr="005A35DC">
        <w:rPr>
          <w:rFonts w:ascii="Gotham Book" w:hAnsi="Gotham Book"/>
          <w:i/>
          <w:iCs/>
          <w:sz w:val="20"/>
          <w:szCs w:val="20"/>
        </w:rPr>
        <w:t>In BBL Shares dient het eigen vermogen van de entiteit gerapporteerd te worden.</w:t>
      </w:r>
    </w:p>
    <w:p w14:paraId="0D2DB324" w14:textId="77777777" w:rsidR="00A51BC7" w:rsidRDefault="00A51BC7" w:rsidP="00A51BC7">
      <w:pPr>
        <w:pStyle w:val="ListParagraph"/>
        <w:rPr>
          <w:rFonts w:ascii="Gotham Book" w:hAnsi="Gotham Book"/>
          <w:sz w:val="20"/>
        </w:rPr>
      </w:pPr>
    </w:p>
    <w:p w14:paraId="2D3E3223"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is ingevuld</w:t>
      </w:r>
    </w:p>
    <w:p w14:paraId="46163C2F" w14:textId="77777777" w:rsidR="00A51BC7" w:rsidRDefault="00A51BC7" w:rsidP="00A51BC7">
      <w:pPr>
        <w:pStyle w:val="ListParagraph"/>
        <w:numPr>
          <w:ilvl w:val="2"/>
          <w:numId w:val="2"/>
        </w:numPr>
        <w:spacing w:after="200" w:line="276" w:lineRule="auto"/>
        <w:rPr>
          <w:rFonts w:ascii="Gotham Book" w:hAnsi="Gotham Book"/>
          <w:sz w:val="20"/>
        </w:rPr>
      </w:pPr>
      <w:r w:rsidRPr="00A80CB4">
        <w:rPr>
          <w:rFonts w:ascii="Gotham Book" w:hAnsi="Gotham Book"/>
          <w:sz w:val="20"/>
        </w:rPr>
        <w:t xml:space="preserve">Vaststellen  dat voor het kapitaal (subklasse 10): </w:t>
      </w:r>
      <w:r>
        <w:rPr>
          <w:rFonts w:ascii="Gotham Book" w:hAnsi="Gotham Book"/>
          <w:sz w:val="20"/>
        </w:rPr>
        <w:t>a</w:t>
      </w:r>
      <w:r w:rsidRPr="00A80CB4">
        <w:rPr>
          <w:rFonts w:ascii="Gotham Book" w:hAnsi="Gotham Book"/>
          <w:sz w:val="20"/>
        </w:rPr>
        <w:t>lles met S.1312 als tegenpartij (ESA_COUNTERPARTY) in detail gerapporteerd is (De rest mag in blok gerapporteerd worden per ESA_COUNTERPARTY)</w:t>
      </w:r>
    </w:p>
    <w:p w14:paraId="5E0FBE40"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 xml:space="preserve">Vaststellen dat alle rekeningen zijn opgenomen in de BB </w:t>
      </w:r>
    </w:p>
    <w:p w14:paraId="1D027BA9"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034ED724"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opsplitsing kapitaal (subklasse 10) in type aandeelhouder (1 record per ESA_COUNTERPARTY) correct is</w:t>
      </w:r>
    </w:p>
    <w:p w14:paraId="02A04444"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subklassen (11 – 15) per subklasse gerapporteerd worden zonder opgave van ESA_COUNTERPARTY  en met ESA_INSTRUMENT F.519</w:t>
      </w:r>
    </w:p>
    <w:p w14:paraId="5967A36B"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overige gegevens van de materiële rekeningen correct werden ingevuld</w:t>
      </w:r>
    </w:p>
    <w:p w14:paraId="77F531FB" w14:textId="77777777" w:rsidR="00A51BC7" w:rsidRDefault="00A51BC7" w:rsidP="00A51BC7"/>
    <w:p w14:paraId="148B54E2" w14:textId="77777777" w:rsidR="00A51BC7" w:rsidRPr="006663DB" w:rsidRDefault="00A51BC7" w:rsidP="00A51BC7">
      <w:pPr>
        <w:pStyle w:val="ListParagraph"/>
        <w:numPr>
          <w:ilvl w:val="0"/>
          <w:numId w:val="2"/>
        </w:numPr>
        <w:spacing w:after="200" w:line="276" w:lineRule="auto"/>
        <w:rPr>
          <w:rFonts w:ascii="Gotham Book" w:hAnsi="Gotham Book"/>
          <w:sz w:val="20"/>
        </w:rPr>
      </w:pPr>
      <w:r w:rsidRPr="001F4143">
        <w:rPr>
          <w:rFonts w:ascii="Gotham Book" w:hAnsi="Gotham Book"/>
          <w:b/>
          <w:bCs/>
          <w:sz w:val="20"/>
        </w:rPr>
        <w:t xml:space="preserve">BBL Trade &amp; </w:t>
      </w:r>
      <w:proofErr w:type="spellStart"/>
      <w:r w:rsidRPr="001F4143">
        <w:rPr>
          <w:rFonts w:ascii="Gotham Book" w:hAnsi="Gotham Book"/>
          <w:b/>
          <w:bCs/>
          <w:sz w:val="20"/>
        </w:rPr>
        <w:t>Other</w:t>
      </w:r>
      <w:proofErr w:type="spellEnd"/>
      <w:r w:rsidRPr="001F4143">
        <w:rPr>
          <w:rFonts w:ascii="Gotham Book" w:hAnsi="Gotham Book"/>
          <w:b/>
          <w:bCs/>
          <w:sz w:val="20"/>
        </w:rPr>
        <w:t xml:space="preserve"> </w:t>
      </w:r>
      <w:proofErr w:type="spellStart"/>
      <w:r w:rsidRPr="001F4143">
        <w:rPr>
          <w:rFonts w:ascii="Gotham Book" w:hAnsi="Gotham Book"/>
          <w:b/>
          <w:bCs/>
          <w:sz w:val="20"/>
        </w:rPr>
        <w:t>Payables</w:t>
      </w:r>
      <w:proofErr w:type="spellEnd"/>
      <w:r>
        <w:rPr>
          <w:rFonts w:ascii="Gotham Book" w:hAnsi="Gotham Book"/>
          <w:sz w:val="20"/>
        </w:rPr>
        <w:t xml:space="preserve"> </w:t>
      </w:r>
      <w:r>
        <w:rPr>
          <w:rFonts w:ascii="Gotham Book" w:hAnsi="Gotham Book"/>
          <w:i/>
          <w:iCs/>
          <w:sz w:val="20"/>
        </w:rPr>
        <w:t>(d</w:t>
      </w:r>
      <w:r w:rsidRPr="009D7CF3">
        <w:rPr>
          <w:rFonts w:ascii="Gotham Book" w:hAnsi="Gotham Book"/>
          <w:i/>
          <w:iCs/>
          <w:sz w:val="20"/>
        </w:rPr>
        <w:t xml:space="preserve">eze BB moet niet in detail ingevuld worden maar mag in blok gerapporteerd worden (per unieke ESA_INSTRUMENT </w:t>
      </w:r>
      <w:r>
        <w:rPr>
          <w:rFonts w:ascii="Gotham Book" w:hAnsi="Gotham Book"/>
          <w:i/>
          <w:iCs/>
          <w:sz w:val="20"/>
        </w:rPr>
        <w:t xml:space="preserve">- </w:t>
      </w:r>
      <w:r w:rsidRPr="009D7CF3">
        <w:rPr>
          <w:rFonts w:ascii="Gotham Book" w:hAnsi="Gotham Book"/>
          <w:i/>
          <w:iCs/>
          <w:sz w:val="20"/>
        </w:rPr>
        <w:t xml:space="preserve"> ESA_COUNTERPARTY</w:t>
      </w:r>
      <w:r>
        <w:rPr>
          <w:rFonts w:ascii="Gotham Book" w:hAnsi="Gotham Book"/>
          <w:i/>
          <w:iCs/>
          <w:sz w:val="20"/>
        </w:rPr>
        <w:t xml:space="preserve"> – CATEGORY INSTRUMENT 2</w:t>
      </w:r>
      <w:r w:rsidRPr="009D7CF3">
        <w:rPr>
          <w:rFonts w:ascii="Gotham Book" w:hAnsi="Gotham Book"/>
          <w:i/>
          <w:iCs/>
          <w:sz w:val="20"/>
        </w:rPr>
        <w:t xml:space="preserve"> combinatie)</w:t>
      </w:r>
    </w:p>
    <w:p w14:paraId="40442EC1" w14:textId="77777777" w:rsidR="00A51BC7" w:rsidRPr="001F4143" w:rsidRDefault="00A51BC7" w:rsidP="00A51BC7">
      <w:pPr>
        <w:ind w:left="708"/>
        <w:rPr>
          <w:i/>
          <w:iCs/>
        </w:rPr>
      </w:pPr>
      <w:r w:rsidRPr="001F4143">
        <w:rPr>
          <w:i/>
          <w:iCs/>
        </w:rPr>
        <w:t>In de BBL Trade &amp; Other Payables dienen de handelsschulden gerapporteerd te worden evenals de overige schulden die niet opgenomen werden in de andere BBL’s.</w:t>
      </w:r>
    </w:p>
    <w:p w14:paraId="12C274FD" w14:textId="77777777" w:rsidR="00A51BC7" w:rsidRPr="009D7CF3" w:rsidRDefault="00A51BC7" w:rsidP="00A51BC7">
      <w:pPr>
        <w:pStyle w:val="ListParagraph"/>
        <w:rPr>
          <w:rFonts w:ascii="Gotham Book" w:hAnsi="Gotham Book"/>
          <w:sz w:val="20"/>
        </w:rPr>
      </w:pPr>
    </w:p>
    <w:p w14:paraId="490EBD57" w14:textId="77777777" w:rsidR="00A51BC7" w:rsidRDefault="00A51BC7" w:rsidP="00A51BC7">
      <w:pPr>
        <w:pStyle w:val="ListParagraph"/>
        <w:numPr>
          <w:ilvl w:val="1"/>
          <w:numId w:val="2"/>
        </w:numPr>
        <w:spacing w:after="200" w:line="276" w:lineRule="auto"/>
        <w:rPr>
          <w:rFonts w:ascii="Gotham Book" w:hAnsi="Gotham Book"/>
          <w:sz w:val="20"/>
        </w:rPr>
      </w:pPr>
      <w:r w:rsidRPr="00A80CB4">
        <w:rPr>
          <w:rFonts w:ascii="Gotham Book" w:hAnsi="Gotham Book"/>
          <w:sz w:val="20"/>
        </w:rPr>
        <w:t>Vaststellen dat deze BB in d</w:t>
      </w:r>
      <w:r>
        <w:rPr>
          <w:rFonts w:ascii="Gotham Book" w:hAnsi="Gotham Book"/>
          <w:sz w:val="20"/>
        </w:rPr>
        <w:t>etail of in blok is ingevuld</w:t>
      </w:r>
    </w:p>
    <w:p w14:paraId="55828B9F"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alle rekeningen zijn opgenomen in de BB</w:t>
      </w:r>
    </w:p>
    <w:p w14:paraId="0C332483" w14:textId="77777777" w:rsidR="00A51BC7" w:rsidRDefault="00A51BC7" w:rsidP="00A51BC7">
      <w:pPr>
        <w:pStyle w:val="ListParagraph"/>
        <w:numPr>
          <w:ilvl w:val="1"/>
          <w:numId w:val="2"/>
        </w:numPr>
        <w:spacing w:after="200" w:line="276" w:lineRule="auto"/>
        <w:rPr>
          <w:rFonts w:ascii="Gotham Book" w:hAnsi="Gotham Book"/>
          <w:sz w:val="20"/>
        </w:rPr>
      </w:pPr>
      <w:r>
        <w:rPr>
          <w:rFonts w:ascii="Gotham Book" w:hAnsi="Gotham Book"/>
          <w:sz w:val="20"/>
        </w:rPr>
        <w:t>Vaststellen dat de openingsbalans overeenstemt met de rapportering N-1</w:t>
      </w:r>
    </w:p>
    <w:p w14:paraId="210C6F96" w14:textId="77777777" w:rsidR="00A51BC7" w:rsidRDefault="00A51BC7" w:rsidP="00A51BC7"/>
    <w:p w14:paraId="75219798" w14:textId="77777777" w:rsidR="00A51BC7" w:rsidRDefault="00A51BC7" w:rsidP="00A51BC7">
      <w:pPr>
        <w:pStyle w:val="ListParagraph"/>
        <w:numPr>
          <w:ilvl w:val="0"/>
          <w:numId w:val="2"/>
        </w:numPr>
        <w:spacing w:after="200" w:line="276" w:lineRule="auto"/>
        <w:rPr>
          <w:rFonts w:ascii="Gotham Book" w:hAnsi="Gotham Book"/>
          <w:b/>
          <w:bCs/>
          <w:sz w:val="20"/>
        </w:rPr>
      </w:pPr>
      <w:r>
        <w:rPr>
          <w:rFonts w:ascii="Gotham Book" w:hAnsi="Gotham Book"/>
          <w:b/>
          <w:bCs/>
          <w:sz w:val="20"/>
        </w:rPr>
        <w:t>Algemeen</w:t>
      </w:r>
    </w:p>
    <w:p w14:paraId="24C194B6" w14:textId="77777777" w:rsidR="00A51BC7" w:rsidRPr="00FB6447" w:rsidRDefault="00A51BC7" w:rsidP="00A51BC7">
      <w:pPr>
        <w:pStyle w:val="ListParagraph"/>
        <w:numPr>
          <w:ilvl w:val="1"/>
          <w:numId w:val="2"/>
        </w:numPr>
        <w:spacing w:after="200" w:line="276" w:lineRule="auto"/>
        <w:jc w:val="both"/>
        <w:rPr>
          <w:rFonts w:ascii="Gotham Book" w:hAnsi="Gotham Book"/>
          <w:b/>
          <w:bCs/>
          <w:sz w:val="20"/>
        </w:rPr>
      </w:pPr>
      <w:r>
        <w:rPr>
          <w:rFonts w:ascii="Gotham Book" w:hAnsi="Gotham Book"/>
          <w:sz w:val="20"/>
        </w:rPr>
        <w:t xml:space="preserve">Vaststellen dat de aansluiting van de BB met de bedrijfseconomische jaarrekening (deel 1) geen afwijkingen vertoont of met andere woorden dat de betrokken rubrieken volledig werden gerapporteerd. </w:t>
      </w:r>
    </w:p>
    <w:p w14:paraId="3172D293" w14:textId="77777777" w:rsidR="00A51BC7" w:rsidRPr="00A44AE4" w:rsidRDefault="00A51BC7" w:rsidP="00A51BC7">
      <w:pPr>
        <w:pStyle w:val="ListParagraph"/>
        <w:numPr>
          <w:ilvl w:val="1"/>
          <w:numId w:val="2"/>
        </w:numPr>
        <w:spacing w:after="200" w:line="276" w:lineRule="auto"/>
        <w:jc w:val="both"/>
        <w:rPr>
          <w:rFonts w:ascii="Gotham Book" w:hAnsi="Gotham Book"/>
          <w:b/>
          <w:bCs/>
          <w:sz w:val="20"/>
        </w:rPr>
      </w:pPr>
      <w:r>
        <w:rPr>
          <w:rFonts w:ascii="Gotham Book" w:hAnsi="Gotham Book"/>
          <w:sz w:val="20"/>
        </w:rPr>
        <w:t xml:space="preserve">Indien er tijdens de opdracht vastgesteld werd dat de interne processen rond het opstellen van de </w:t>
      </w:r>
      <w:proofErr w:type="spellStart"/>
      <w:r>
        <w:rPr>
          <w:rFonts w:ascii="Gotham Book" w:hAnsi="Gotham Book"/>
          <w:sz w:val="20"/>
        </w:rPr>
        <w:t>BB’s</w:t>
      </w:r>
      <w:proofErr w:type="spellEnd"/>
      <w:r>
        <w:rPr>
          <w:rFonts w:ascii="Gotham Book" w:hAnsi="Gotham Book"/>
          <w:sz w:val="20"/>
        </w:rPr>
        <w:t xml:space="preserve"> kan verbeteren worden deze meegedeeld.</w:t>
      </w:r>
    </w:p>
    <w:p w14:paraId="1D051DAF" w14:textId="77777777" w:rsidR="00A51BC7" w:rsidRPr="00A44AE4" w:rsidRDefault="00A51BC7" w:rsidP="00A51BC7">
      <w:pPr>
        <w:pStyle w:val="ListParagraph"/>
        <w:numPr>
          <w:ilvl w:val="1"/>
          <w:numId w:val="2"/>
        </w:numPr>
        <w:spacing w:after="200" w:line="276" w:lineRule="auto"/>
        <w:jc w:val="both"/>
        <w:rPr>
          <w:rFonts w:ascii="Gotham Book" w:hAnsi="Gotham Book"/>
          <w:b/>
          <w:bCs/>
          <w:sz w:val="20"/>
        </w:rPr>
      </w:pPr>
      <w:r w:rsidRPr="00A44AE4">
        <w:rPr>
          <w:rFonts w:ascii="Gotham Book" w:hAnsi="Gotham Book"/>
          <w:sz w:val="20"/>
        </w:rPr>
        <w:t>Alle S.1312 tegenpartijen dienen in detail gerapporteerd te worden.</w:t>
      </w:r>
    </w:p>
    <w:p w14:paraId="6850729A" w14:textId="77777777" w:rsidR="00A51BC7" w:rsidRPr="00A51BC7" w:rsidRDefault="00A51BC7" w:rsidP="00A51BC7">
      <w:pPr>
        <w:tabs>
          <w:tab w:val="left" w:pos="5103"/>
        </w:tabs>
        <w:jc w:val="both"/>
        <w:rPr>
          <w:lang w:val="nl-NL"/>
        </w:rPr>
      </w:pPr>
    </w:p>
    <w:sectPr w:rsidR="00A51BC7" w:rsidRPr="00A51BC7" w:rsidSect="00BE6C22">
      <w:headerReference w:type="default" r:id="rId8"/>
      <w:footerReference w:type="default" r:id="rId9"/>
      <w:headerReference w:type="first" r:id="rId10"/>
      <w:footerReference w:type="first" r:id="rId11"/>
      <w:endnotePr>
        <w:numFmt w:val="decimal"/>
      </w:endnotePr>
      <w:pgSz w:w="11906" w:h="16838"/>
      <w:pgMar w:top="2835" w:right="1418" w:bottom="1418" w:left="1418" w:header="850"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2238" w14:textId="77777777" w:rsidR="00B40C1E" w:rsidRDefault="00B40C1E" w:rsidP="00A51BC7">
      <w:r>
        <w:separator/>
      </w:r>
    </w:p>
  </w:endnote>
  <w:endnote w:type="continuationSeparator" w:id="0">
    <w:p w14:paraId="2A5BDAE2" w14:textId="77777777" w:rsidR="00B40C1E" w:rsidRDefault="00B40C1E" w:rsidP="00A5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EDB4" w14:textId="77777777" w:rsidR="00FF6D8F" w:rsidRPr="00FF6D8F" w:rsidRDefault="00703C7F" w:rsidP="00FF6D8F">
    <w:pPr>
      <w:tabs>
        <w:tab w:val="center" w:pos="4536"/>
        <w:tab w:val="right" w:pos="9072"/>
      </w:tabs>
      <w:jc w:val="right"/>
      <w:rPr>
        <w:rFonts w:ascii="Times New Roman" w:hAnsi="Times New Roman"/>
        <w:b/>
        <w:bCs/>
        <w:sz w:val="18"/>
        <w:szCs w:val="18"/>
        <w:lang w:val="en-US"/>
      </w:rPr>
    </w:pPr>
    <w:r w:rsidRPr="00772DEA">
      <w:rPr>
        <w:rFonts w:ascii="Times New Roman" w:hAnsi="Times New Roman"/>
        <w:sz w:val="18"/>
        <w:szCs w:val="18"/>
        <w:lang w:val="en-US"/>
      </w:rPr>
      <w:t xml:space="preserve">Page </w:t>
    </w:r>
    <w:r w:rsidRPr="00772DEA">
      <w:rPr>
        <w:rFonts w:ascii="Times New Roman" w:hAnsi="Times New Roman"/>
        <w:b/>
        <w:bCs/>
        <w:sz w:val="18"/>
        <w:szCs w:val="18"/>
      </w:rPr>
      <w:fldChar w:fldCharType="begin"/>
    </w:r>
    <w:r w:rsidRPr="00772DEA">
      <w:rPr>
        <w:rFonts w:ascii="Times New Roman" w:hAnsi="Times New Roman"/>
        <w:b/>
        <w:bCs/>
        <w:sz w:val="18"/>
        <w:szCs w:val="18"/>
        <w:lang w:val="en-US"/>
      </w:rPr>
      <w:instrText xml:space="preserve"> PAGE </w:instrText>
    </w:r>
    <w:r w:rsidRPr="00772DEA">
      <w:rPr>
        <w:rFonts w:ascii="Times New Roman" w:hAnsi="Times New Roman"/>
        <w:b/>
        <w:bCs/>
        <w:sz w:val="18"/>
        <w:szCs w:val="18"/>
      </w:rPr>
      <w:fldChar w:fldCharType="separate"/>
    </w:r>
    <w:r w:rsidRPr="00FF6D8F">
      <w:rPr>
        <w:b/>
        <w:bCs/>
        <w:sz w:val="18"/>
        <w:szCs w:val="18"/>
        <w:lang w:val="en-US"/>
      </w:rPr>
      <w:t>2</w:t>
    </w:r>
    <w:r w:rsidRPr="00772DEA">
      <w:rPr>
        <w:rFonts w:ascii="Times New Roman" w:hAnsi="Times New Roman"/>
        <w:b/>
        <w:bCs/>
        <w:sz w:val="18"/>
        <w:szCs w:val="18"/>
      </w:rPr>
      <w:fldChar w:fldCharType="end"/>
    </w:r>
    <w:r w:rsidRPr="00772DEA">
      <w:rPr>
        <w:rFonts w:ascii="Times New Roman" w:hAnsi="Times New Roman"/>
        <w:sz w:val="18"/>
        <w:szCs w:val="18"/>
        <w:lang w:val="en-US"/>
      </w:rPr>
      <w:t xml:space="preserve"> of </w:t>
    </w:r>
    <w:r w:rsidRPr="00772DEA">
      <w:rPr>
        <w:rFonts w:ascii="Times New Roman" w:hAnsi="Times New Roman"/>
        <w:b/>
        <w:bCs/>
        <w:sz w:val="18"/>
        <w:szCs w:val="18"/>
      </w:rPr>
      <w:fldChar w:fldCharType="begin"/>
    </w:r>
    <w:r w:rsidRPr="00772DEA">
      <w:rPr>
        <w:rFonts w:ascii="Times New Roman" w:hAnsi="Times New Roman"/>
        <w:b/>
        <w:bCs/>
        <w:sz w:val="18"/>
        <w:szCs w:val="18"/>
        <w:lang w:val="en-US"/>
      </w:rPr>
      <w:instrText xml:space="preserve"> NUMPAGES  </w:instrText>
    </w:r>
    <w:r w:rsidRPr="00772DEA">
      <w:rPr>
        <w:rFonts w:ascii="Times New Roman" w:hAnsi="Times New Roman"/>
        <w:b/>
        <w:bCs/>
        <w:sz w:val="18"/>
        <w:szCs w:val="18"/>
      </w:rPr>
      <w:fldChar w:fldCharType="separate"/>
    </w:r>
    <w:r w:rsidRPr="00FF6D8F">
      <w:rPr>
        <w:b/>
        <w:bCs/>
        <w:sz w:val="18"/>
        <w:szCs w:val="18"/>
        <w:lang w:val="en-US"/>
      </w:rPr>
      <w:t>2</w:t>
    </w:r>
    <w:r w:rsidRPr="00772DEA">
      <w:rPr>
        <w:rFonts w:ascii="Times New Roman" w:hAnsi="Times New Roman"/>
        <w:b/>
        <w:bCs/>
        <w:sz w:val="18"/>
        <w:szCs w:val="18"/>
      </w:rPr>
      <w:fldChar w:fldCharType="end"/>
    </w:r>
  </w:p>
  <w:p w14:paraId="6D7B210D" w14:textId="77777777" w:rsidR="00FF3900" w:rsidRPr="00FF3900" w:rsidRDefault="00BB790D" w:rsidP="00FF3900">
    <w:pPr>
      <w:pStyle w:val="Footer"/>
      <w:rPr>
        <w:color w:val="005A77"/>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6CE6" w14:textId="77777777" w:rsidR="003C71BD" w:rsidRPr="00FF6D8F" w:rsidRDefault="00703C7F" w:rsidP="003C71BD">
    <w:pPr>
      <w:tabs>
        <w:tab w:val="center" w:pos="4536"/>
        <w:tab w:val="right" w:pos="9072"/>
      </w:tabs>
      <w:jc w:val="right"/>
      <w:rPr>
        <w:rFonts w:ascii="Times New Roman" w:hAnsi="Times New Roman"/>
        <w:b/>
        <w:bCs/>
        <w:sz w:val="18"/>
        <w:szCs w:val="18"/>
        <w:lang w:val="en-US"/>
      </w:rPr>
    </w:pPr>
    <w:r w:rsidRPr="00772DEA">
      <w:rPr>
        <w:rFonts w:ascii="Times New Roman" w:hAnsi="Times New Roman"/>
        <w:sz w:val="18"/>
        <w:szCs w:val="18"/>
        <w:lang w:val="en-US"/>
      </w:rPr>
      <w:t xml:space="preserve">Page </w:t>
    </w:r>
    <w:r w:rsidRPr="00772DEA">
      <w:rPr>
        <w:rFonts w:ascii="Times New Roman" w:hAnsi="Times New Roman"/>
        <w:b/>
        <w:bCs/>
        <w:sz w:val="18"/>
        <w:szCs w:val="18"/>
      </w:rPr>
      <w:fldChar w:fldCharType="begin"/>
    </w:r>
    <w:r w:rsidRPr="00772DEA">
      <w:rPr>
        <w:rFonts w:ascii="Times New Roman" w:hAnsi="Times New Roman"/>
        <w:b/>
        <w:bCs/>
        <w:sz w:val="18"/>
        <w:szCs w:val="18"/>
        <w:lang w:val="en-US"/>
      </w:rPr>
      <w:instrText xml:space="preserve"> PAGE </w:instrText>
    </w:r>
    <w:r w:rsidRPr="00772DEA">
      <w:rPr>
        <w:rFonts w:ascii="Times New Roman" w:hAnsi="Times New Roman"/>
        <w:b/>
        <w:bCs/>
        <w:sz w:val="18"/>
        <w:szCs w:val="18"/>
      </w:rPr>
      <w:fldChar w:fldCharType="separate"/>
    </w:r>
    <w:r w:rsidRPr="003C71BD">
      <w:rPr>
        <w:rFonts w:ascii="Times New Roman" w:hAnsi="Times New Roman"/>
        <w:b/>
        <w:bCs/>
        <w:sz w:val="18"/>
        <w:szCs w:val="18"/>
        <w:lang w:val="en-US"/>
      </w:rPr>
      <w:t>2</w:t>
    </w:r>
    <w:r w:rsidRPr="00772DEA">
      <w:rPr>
        <w:rFonts w:ascii="Times New Roman" w:hAnsi="Times New Roman"/>
        <w:b/>
        <w:bCs/>
        <w:sz w:val="18"/>
        <w:szCs w:val="18"/>
      </w:rPr>
      <w:fldChar w:fldCharType="end"/>
    </w:r>
    <w:r w:rsidRPr="00772DEA">
      <w:rPr>
        <w:rFonts w:ascii="Times New Roman" w:hAnsi="Times New Roman"/>
        <w:sz w:val="18"/>
        <w:szCs w:val="18"/>
        <w:lang w:val="en-US"/>
      </w:rPr>
      <w:t xml:space="preserve"> of </w:t>
    </w:r>
    <w:r w:rsidRPr="00772DEA">
      <w:rPr>
        <w:rFonts w:ascii="Times New Roman" w:hAnsi="Times New Roman"/>
        <w:b/>
        <w:bCs/>
        <w:sz w:val="18"/>
        <w:szCs w:val="18"/>
      </w:rPr>
      <w:fldChar w:fldCharType="begin"/>
    </w:r>
    <w:r w:rsidRPr="00772DEA">
      <w:rPr>
        <w:rFonts w:ascii="Times New Roman" w:hAnsi="Times New Roman"/>
        <w:b/>
        <w:bCs/>
        <w:sz w:val="18"/>
        <w:szCs w:val="18"/>
        <w:lang w:val="en-US"/>
      </w:rPr>
      <w:instrText xml:space="preserve"> NUMPAGES  </w:instrText>
    </w:r>
    <w:r w:rsidRPr="00772DEA">
      <w:rPr>
        <w:rFonts w:ascii="Times New Roman" w:hAnsi="Times New Roman"/>
        <w:b/>
        <w:bCs/>
        <w:sz w:val="18"/>
        <w:szCs w:val="18"/>
      </w:rPr>
      <w:fldChar w:fldCharType="separate"/>
    </w:r>
    <w:r w:rsidRPr="003C71BD">
      <w:rPr>
        <w:rFonts w:ascii="Times New Roman" w:hAnsi="Times New Roman"/>
        <w:b/>
        <w:bCs/>
        <w:sz w:val="18"/>
        <w:szCs w:val="18"/>
        <w:lang w:val="en-US"/>
      </w:rPr>
      <w:t>2</w:t>
    </w:r>
    <w:r w:rsidRPr="00772DEA">
      <w:rPr>
        <w:rFonts w:ascii="Times New Roman" w:hAnsi="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3152" w14:textId="77777777" w:rsidR="00B40C1E" w:rsidRDefault="00B40C1E" w:rsidP="00A51BC7">
      <w:r>
        <w:separator/>
      </w:r>
    </w:p>
  </w:footnote>
  <w:footnote w:type="continuationSeparator" w:id="0">
    <w:p w14:paraId="6E1D7CC3" w14:textId="77777777" w:rsidR="00B40C1E" w:rsidRDefault="00B40C1E" w:rsidP="00A5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6D67" w14:textId="77777777" w:rsidR="002F5C14" w:rsidRDefault="00703C7F" w:rsidP="00B10399">
    <w:pPr>
      <w:pStyle w:val="Header"/>
      <w:ind w:left="-73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3331" w14:textId="77777777" w:rsidR="003C71BD" w:rsidRDefault="00BB790D" w:rsidP="003C71BD">
    <w:pPr>
      <w:pStyle w:val="Header"/>
      <w:ind w:left="-7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4752E"/>
    <w:multiLevelType w:val="hybridMultilevel"/>
    <w:tmpl w:val="E1FC2288"/>
    <w:lvl w:ilvl="0" w:tplc="08130001">
      <w:start w:val="2300"/>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C74820"/>
    <w:multiLevelType w:val="hybridMultilevel"/>
    <w:tmpl w:val="8324975C"/>
    <w:lvl w:ilvl="0" w:tplc="0813000F">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22"/>
    <w:rsid w:val="00096104"/>
    <w:rsid w:val="00703C7F"/>
    <w:rsid w:val="00744FBE"/>
    <w:rsid w:val="00805D51"/>
    <w:rsid w:val="00900272"/>
    <w:rsid w:val="009D1A08"/>
    <w:rsid w:val="00A51BC7"/>
    <w:rsid w:val="00B40C1E"/>
    <w:rsid w:val="00BE6C22"/>
    <w:rsid w:val="00BF785B"/>
    <w:rsid w:val="00D822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9519"/>
  <w15:chartTrackingRefBased/>
  <w15:docId w15:val="{B41A90B9-D9A0-4BDA-A467-F8B9D47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22"/>
    <w:pPr>
      <w:widowControl w:val="0"/>
      <w:spacing w:after="0" w:line="240" w:lineRule="auto"/>
    </w:pPr>
    <w:rPr>
      <w:rFonts w:ascii="Gotham Book" w:eastAsia="Times New Roman" w:hAnsi="Gotham Book" w:cs="Times New Roman"/>
      <w:sz w:val="20"/>
      <w:szCs w:val="20"/>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E6C22"/>
    <w:pPr>
      <w:tabs>
        <w:tab w:val="center" w:pos="4536"/>
        <w:tab w:val="right" w:pos="9072"/>
      </w:tabs>
    </w:pPr>
  </w:style>
  <w:style w:type="character" w:customStyle="1" w:styleId="HeaderChar">
    <w:name w:val="Header Char"/>
    <w:basedOn w:val="DefaultParagraphFont"/>
    <w:link w:val="Header"/>
    <w:semiHidden/>
    <w:rsid w:val="00BE6C22"/>
    <w:rPr>
      <w:rFonts w:ascii="Gotham Book" w:eastAsia="Times New Roman" w:hAnsi="Gotham Book" w:cs="Times New Roman"/>
      <w:sz w:val="20"/>
      <w:szCs w:val="20"/>
      <w:lang w:val="nl" w:eastAsia="nl-NL"/>
    </w:rPr>
  </w:style>
  <w:style w:type="paragraph" w:styleId="Footer">
    <w:name w:val="footer"/>
    <w:basedOn w:val="Normal"/>
    <w:link w:val="FooterChar"/>
    <w:rsid w:val="00BE6C22"/>
    <w:pPr>
      <w:tabs>
        <w:tab w:val="center" w:pos="4536"/>
        <w:tab w:val="right" w:pos="9072"/>
      </w:tabs>
    </w:pPr>
  </w:style>
  <w:style w:type="character" w:customStyle="1" w:styleId="FooterChar">
    <w:name w:val="Footer Char"/>
    <w:basedOn w:val="DefaultParagraphFont"/>
    <w:link w:val="Footer"/>
    <w:rsid w:val="00BE6C22"/>
    <w:rPr>
      <w:rFonts w:ascii="Gotham Book" w:eastAsia="Times New Roman" w:hAnsi="Gotham Book" w:cs="Times New Roman"/>
      <w:sz w:val="20"/>
      <w:szCs w:val="20"/>
      <w:lang w:val="nl" w:eastAsia="nl-NL"/>
    </w:rPr>
  </w:style>
  <w:style w:type="paragraph" w:styleId="ListParagraph">
    <w:name w:val="List Paragraph"/>
    <w:basedOn w:val="Normal"/>
    <w:uiPriority w:val="34"/>
    <w:qFormat/>
    <w:rsid w:val="00BE6C22"/>
    <w:pPr>
      <w:widowControl/>
      <w:ind w:left="720"/>
      <w:contextualSpacing/>
    </w:pPr>
    <w:rPr>
      <w:rFonts w:ascii="Times New Roman" w:hAnsi="Times New Roman"/>
      <w:sz w:val="24"/>
      <w:szCs w:val="24"/>
      <w:lang w:val="nl-NL"/>
    </w:rPr>
  </w:style>
  <w:style w:type="paragraph" w:styleId="BalloonText">
    <w:name w:val="Balloon Text"/>
    <w:basedOn w:val="Normal"/>
    <w:link w:val="BalloonTextChar"/>
    <w:uiPriority w:val="99"/>
    <w:semiHidden/>
    <w:unhideWhenUsed/>
    <w:rsid w:val="00BE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22"/>
    <w:rPr>
      <w:rFonts w:ascii="Segoe UI" w:eastAsia="Times New Roman" w:hAnsi="Segoe UI" w:cs="Segoe UI"/>
      <w:sz w:val="18"/>
      <w:szCs w:val="18"/>
      <w:lang w:val="nl" w:eastAsia="nl-NL"/>
    </w:rPr>
  </w:style>
  <w:style w:type="character" w:styleId="Hyperlink">
    <w:name w:val="Hyperlink"/>
    <w:basedOn w:val="DefaultParagraphFont"/>
    <w:uiPriority w:val="99"/>
    <w:unhideWhenUsed/>
    <w:rsid w:val="00A5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htspersonen@vlaanderen.be"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EDDF8-A1E5-4428-91CE-320509FDA397}"/>
</file>

<file path=customXml/itemProps2.xml><?xml version="1.0" encoding="utf-8"?>
<ds:datastoreItem xmlns:ds="http://schemas.openxmlformats.org/officeDocument/2006/customXml" ds:itemID="{9FE9E286-6AF6-4440-A28A-3F99E29FE7A4}"/>
</file>

<file path=customXml/itemProps3.xml><?xml version="1.0" encoding="utf-8"?>
<ds:datastoreItem xmlns:ds="http://schemas.openxmlformats.org/officeDocument/2006/customXml" ds:itemID="{31E1DB09-EB17-480E-A03E-C1326903DA71}"/>
</file>

<file path=customXml/itemProps4.xml><?xml version="1.0" encoding="utf-8"?>
<ds:datastoreItem xmlns:ds="http://schemas.openxmlformats.org/officeDocument/2006/customXml" ds:itemID="{3A38B079-8AD4-4E5F-A133-3428EE5C542A}"/>
</file>

<file path=docProps/app.xml><?xml version="1.0" encoding="utf-8"?>
<Properties xmlns="http://schemas.openxmlformats.org/officeDocument/2006/extended-properties" xmlns:vt="http://schemas.openxmlformats.org/officeDocument/2006/docPropsVTypes">
  <Template>Normal.dotm</Template>
  <TotalTime>2</TotalTime>
  <Pages>6</Pages>
  <Words>1626</Words>
  <Characters>8944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AUP-BB-Opdrachtbrief</dc:title>
  <dc:subject/>
  <dc:creator>COX, Guy (HLB)</dc:creator>
  <cp:keywords/>
  <dc:description/>
  <cp:lastModifiedBy>STEYAERT, Sara</cp:lastModifiedBy>
  <cp:revision>3</cp:revision>
  <cp:lastPrinted>2020-12-15T14:28:00Z</cp:lastPrinted>
  <dcterms:created xsi:type="dcterms:W3CDTF">2020-12-16T20:59:00Z</dcterms:created>
  <dcterms:modified xsi:type="dcterms:W3CDTF">2020-12-16T20:59:00Z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