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AC3B" w14:textId="77777777" w:rsidR="00C85CAD" w:rsidRPr="007038E4" w:rsidRDefault="00C85CAD" w:rsidP="00C85CAD">
      <w:pPr>
        <w:pStyle w:val="Kop2"/>
      </w:pPr>
      <w:bookmarkStart w:id="0" w:name="_Toc527035202"/>
      <w:bookmarkStart w:id="1" w:name="_Toc527035539"/>
      <w:r w:rsidRPr="007038E4">
        <w:t>Exemple d’indexation uniforme des dossiers</w:t>
      </w:r>
      <w:bookmarkEnd w:id="0"/>
      <w:bookmarkEnd w:id="1"/>
    </w:p>
    <w:p w14:paraId="3E1C1B71" w14:textId="77777777" w:rsidR="00C85CAD" w:rsidRPr="007038E4" w:rsidRDefault="00C85CAD" w:rsidP="00C85CAD">
      <w:pPr>
        <w:spacing w:after="120"/>
        <w:ind w:left="1"/>
        <w:jc w:val="both"/>
        <w:rPr>
          <w:rFonts w:eastAsia="Times New Roman"/>
          <w:lang w:eastAsia="fr-BE"/>
        </w:rPr>
      </w:pPr>
    </w:p>
    <w:p w14:paraId="575586E1" w14:textId="77777777" w:rsidR="00C85CAD" w:rsidRPr="007038E4" w:rsidRDefault="00C85CAD" w:rsidP="00C85CAD">
      <w:pPr>
        <w:spacing w:after="120" w:line="240" w:lineRule="auto"/>
        <w:jc w:val="both"/>
        <w:rPr>
          <w:rFonts w:eastAsia="Times New Roman"/>
          <w:lang w:eastAsia="fr-BE"/>
        </w:rPr>
      </w:pPr>
      <w:r w:rsidRPr="007038E4">
        <w:rPr>
          <w:rFonts w:eastAsia="Times New Roman"/>
          <w:highlight w:val="yellow"/>
          <w:lang w:eastAsia="fr-BE"/>
        </w:rPr>
        <w:t>A insérer par le cabinet</w:t>
      </w:r>
    </w:p>
    <w:p w14:paraId="072454DC" w14:textId="77777777" w:rsidR="00C85CAD" w:rsidRPr="007038E4" w:rsidRDefault="00C85CAD" w:rsidP="00C85CAD">
      <w:pPr>
        <w:spacing w:after="120" w:line="240" w:lineRule="auto"/>
        <w:jc w:val="both"/>
        <w:rPr>
          <w:rFonts w:eastAsia="Times New Roman"/>
          <w:lang w:eastAsia="fr-BE"/>
        </w:rPr>
      </w:pPr>
    </w:p>
    <w:p w14:paraId="17D83DB6" w14:textId="77777777" w:rsidR="00C85CAD" w:rsidRPr="007038E4" w:rsidRDefault="00C85CAD" w:rsidP="00C85CAD">
      <w:pPr>
        <w:spacing w:after="120"/>
        <w:jc w:val="both"/>
        <w:rPr>
          <w:rFonts w:eastAsia="Times New Roman"/>
          <w:b/>
          <w:i/>
          <w:lang w:eastAsia="fr-BE"/>
        </w:rPr>
      </w:pPr>
      <w:r w:rsidRPr="007038E4">
        <w:rPr>
          <w:rFonts w:eastAsia="Times New Roman"/>
          <w:b/>
          <w:i/>
          <w:lang w:eastAsia="fr-BE"/>
        </w:rPr>
        <w:t>Conseils utiles</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289"/>
      </w:tblGrid>
      <w:tr w:rsidR="00C85CAD" w:rsidRPr="007038E4" w14:paraId="4CF4B4B1" w14:textId="77777777" w:rsidTr="0033390E">
        <w:trPr>
          <w:trHeight w:val="6960"/>
        </w:trPr>
        <w:tc>
          <w:tcPr>
            <w:tcW w:w="9289" w:type="dxa"/>
            <w:shd w:val="clear" w:color="auto" w:fill="F2F2F2"/>
          </w:tcPr>
          <w:p w14:paraId="5DC43506" w14:textId="77777777" w:rsidR="00C85CAD" w:rsidRPr="007038E4" w:rsidRDefault="00C85CAD" w:rsidP="0033390E">
            <w:pPr>
              <w:spacing w:after="60"/>
              <w:ind w:left="161" w:right="213"/>
              <w:jc w:val="both"/>
              <w:rPr>
                <w:rFonts w:eastAsia="Times New Roman"/>
                <w:lang w:eastAsia="fr-BE"/>
              </w:rPr>
            </w:pPr>
            <w:r w:rsidRPr="007038E4">
              <w:rPr>
                <w:rFonts w:eastAsia="Times New Roman"/>
                <w:lang w:eastAsia="fr-BE"/>
              </w:rPr>
              <w:t>Le cabinet doit déterminer les exigences en matière de documentation de la mission nécessaires pour démontrer qu’il respecte les exigences professionnelles et les exigences des textes légaux et réglementaires. Il est suggéré que le cabinet prenne en considération les éléments suivants :</w:t>
            </w:r>
          </w:p>
          <w:p w14:paraId="4B331313"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la liste de contrôle ou la note de synthèse concernant la planification de la mission ;</w:t>
            </w:r>
          </w:p>
          <w:p w14:paraId="016FAF53"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les questions relevées relativement aux règles de déontologie (y compris la démonstration de la conformité) ;</w:t>
            </w:r>
          </w:p>
          <w:p w14:paraId="34A5BA73"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la conformité aux exigences en matière d’indépendance et la documentation de toute discussion relative à ces questions ;</w:t>
            </w:r>
          </w:p>
          <w:p w14:paraId="54EEA991"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les conclusions dégagées concernant l’acceptation et le maintien de la relation client ;</w:t>
            </w:r>
          </w:p>
          <w:p w14:paraId="62EBF235"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les procédures appliquées pour évaluer le risque d’anomalies significatives attribuables à une fraude ou une erreur au niveau des états financiers et des assertions ;</w:t>
            </w:r>
          </w:p>
          <w:p w14:paraId="10B7CB33"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la nature, le calendrier et l’étendue des procédures appliquées en réponse à l’évaluation du risque, y compris les résultats et les conclusions, de préférence regroupé en fonction des postes des états financiers ;</w:t>
            </w:r>
          </w:p>
          <w:p w14:paraId="75FB253D"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la nature et l’étendue des consultations et les conclusions qui s’en dégagent ;</w:t>
            </w:r>
          </w:p>
          <w:p w14:paraId="3ED07A77"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toutes les communications émises et reçues ;</w:t>
            </w:r>
          </w:p>
          <w:p w14:paraId="5EF6F0E2"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les résultats de la revue de contrôle qualité de la mission qui était achevée au plus tard à la date du rapport ;</w:t>
            </w:r>
          </w:p>
          <w:p w14:paraId="4283FD25" w14:textId="5B69F7BA"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 xml:space="preserve">la confirmation qu’aucune question non résolue n’existe qui amènerait </w:t>
            </w:r>
            <w:r w:rsidR="009A1B71" w:rsidRPr="009A1B71">
              <w:rPr>
                <w:rFonts w:eastAsia="Times New Roman" w:cs="Times New Roman"/>
                <w:lang w:eastAsia="nl-NL"/>
              </w:rPr>
              <w:t>la personne chargée de la revue de contrôle qualité de la mission</w:t>
            </w:r>
            <w:r w:rsidRPr="007038E4">
              <w:rPr>
                <w:rFonts w:eastAsia="Times New Roman"/>
                <w:lang w:eastAsia="fr-BE"/>
              </w:rPr>
              <w:t xml:space="preserve"> à croire que les jugements importants portés et les conclusions tirées ne sont pas appropriés ;</w:t>
            </w:r>
          </w:p>
          <w:p w14:paraId="5C93559F" w14:textId="77777777" w:rsidR="00C85CAD" w:rsidRPr="007038E4" w:rsidRDefault="00C85CAD" w:rsidP="00C85CAD">
            <w:pPr>
              <w:numPr>
                <w:ilvl w:val="0"/>
                <w:numId w:val="1"/>
              </w:numPr>
              <w:spacing w:after="60"/>
              <w:ind w:left="882" w:right="213"/>
              <w:jc w:val="both"/>
              <w:rPr>
                <w:rFonts w:eastAsia="Times New Roman"/>
                <w:lang w:eastAsia="fr-BE"/>
              </w:rPr>
            </w:pPr>
            <w:r w:rsidRPr="007038E4">
              <w:rPr>
                <w:rFonts w:eastAsia="Times New Roman"/>
                <w:lang w:eastAsia="fr-BE"/>
              </w:rPr>
              <w:t>une conclusion indiquant que des éléments probants suffisants et appropriés ont été recueillis et évalués et étayent le rapport à délivrer ;</w:t>
            </w:r>
          </w:p>
          <w:p w14:paraId="1B48A528" w14:textId="77777777" w:rsidR="00C85CAD" w:rsidRPr="007038E4" w:rsidRDefault="00C85CAD" w:rsidP="00C85CAD">
            <w:pPr>
              <w:numPr>
                <w:ilvl w:val="0"/>
                <w:numId w:val="1"/>
              </w:numPr>
              <w:spacing w:after="60"/>
              <w:ind w:left="882"/>
              <w:jc w:val="both"/>
              <w:rPr>
                <w:rFonts w:eastAsia="Times New Roman"/>
                <w:lang w:eastAsia="fr-BE"/>
              </w:rPr>
            </w:pPr>
            <w:r w:rsidRPr="007038E4">
              <w:rPr>
                <w:rFonts w:eastAsia="Times New Roman"/>
                <w:lang w:eastAsia="fr-BE"/>
              </w:rPr>
              <w:t>la fermeture du dossier, y compris la signature appropriée.</w:t>
            </w:r>
          </w:p>
        </w:tc>
      </w:tr>
    </w:tbl>
    <w:p w14:paraId="62C4B6E0" w14:textId="77777777" w:rsidR="00C85CAD" w:rsidRPr="00B24B64" w:rsidRDefault="00C85CAD" w:rsidP="00C85CAD">
      <w:pPr>
        <w:spacing w:before="120" w:after="120" w:line="312" w:lineRule="auto"/>
        <w:jc w:val="both"/>
        <w:rPr>
          <w:rFonts w:eastAsia="Times New Roman" w:cs="Times New Roman"/>
          <w:lang w:eastAsia="fr-BE"/>
        </w:rPr>
      </w:pPr>
      <w:r w:rsidRPr="00B24B64">
        <w:rPr>
          <w:rFonts w:eastAsia="Times New Roman" w:cs="Times New Roman"/>
          <w:i/>
          <w:iCs/>
          <w:lang w:eastAsia="fr-BE"/>
        </w:rPr>
        <w:t xml:space="preserve">Source (à </w:t>
      </w:r>
      <w:r w:rsidRPr="00B24B64">
        <w:rPr>
          <w:rFonts w:eastAsia="Times New Roman" w:cs="Times New Roman"/>
          <w:i/>
          <w:lang w:val="fr-FR" w:eastAsia="nl-BE"/>
        </w:rPr>
        <w:t>mentionner lors de toute utilisation à une autre fin que celle d’un réviseur d’entreprises dans l’exercice de s</w:t>
      </w:r>
      <w:bookmarkStart w:id="2" w:name="_GoBack"/>
      <w:bookmarkEnd w:id="2"/>
      <w:r w:rsidRPr="00B24B64">
        <w:rPr>
          <w:rFonts w:eastAsia="Times New Roman" w:cs="Times New Roman"/>
          <w:i/>
          <w:lang w:val="fr-FR" w:eastAsia="nl-BE"/>
        </w:rPr>
        <w:t>a mission)</w:t>
      </w:r>
      <w:r w:rsidRPr="00B24B64">
        <w:rPr>
          <w:rFonts w:eastAsia="Times New Roman" w:cs="Times New Roman"/>
          <w:i/>
          <w:iCs/>
          <w:lang w:eastAsia="fr-BE"/>
        </w:rPr>
        <w:t> : Centre d’information du révisorat d’entreprises (ICCI).</w:t>
      </w:r>
    </w:p>
    <w:sectPr w:rsidR="00C85CAD" w:rsidRPr="00B24B64" w:rsidSect="00EA4A7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7C52" w14:textId="77777777" w:rsidR="000815F3" w:rsidRDefault="00E93694">
      <w:pPr>
        <w:spacing w:after="0" w:line="240" w:lineRule="auto"/>
      </w:pPr>
      <w:r>
        <w:separator/>
      </w:r>
    </w:p>
  </w:endnote>
  <w:endnote w:type="continuationSeparator" w:id="0">
    <w:p w14:paraId="434478E1" w14:textId="77777777" w:rsidR="000815F3" w:rsidRDefault="00E9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0AE36" w14:textId="43F23B3D" w:rsidR="00332C35" w:rsidRPr="00332C35" w:rsidRDefault="00CC6E93" w:rsidP="00332C35">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V 3.0 du 06.11</w:t>
    </w:r>
    <w:r w:rsidR="00332C35" w:rsidRPr="00332C35">
      <w:rPr>
        <w:rFonts w:ascii="Calibri" w:eastAsia="Calibri" w:hAnsi="Calibri" w:cs="Times New Roman"/>
        <w:sz w:val="22"/>
        <w:szCs w:val="22"/>
        <w:lang w:val="nl-BE"/>
      </w:rPr>
      <w:t>.2018</w:t>
    </w:r>
    <w:r w:rsidR="00332C35" w:rsidRPr="00332C35">
      <w:rPr>
        <w:rFonts w:ascii="Calibri" w:eastAsia="Calibri" w:hAnsi="Calibri" w:cs="Times New Roman"/>
        <w:sz w:val="22"/>
        <w:szCs w:val="22"/>
        <w:lang w:val="nl-BE"/>
      </w:rPr>
      <w:tab/>
    </w:r>
    <w:r w:rsidR="00332C35" w:rsidRPr="00332C35">
      <w:rPr>
        <w:rFonts w:ascii="Calibri" w:eastAsia="Calibri" w:hAnsi="Calibri" w:cs="Times New Roman"/>
        <w:sz w:val="22"/>
        <w:szCs w:val="22"/>
        <w:lang w:val="nl-BE"/>
      </w:rPr>
      <w:tab/>
    </w:r>
    <w:r w:rsidR="00332C35" w:rsidRPr="00332C35">
      <w:rPr>
        <w:rFonts w:ascii="Calibri" w:eastAsia="Calibri" w:hAnsi="Calibri" w:cs="Times New Roman"/>
        <w:sz w:val="22"/>
        <w:szCs w:val="22"/>
        <w:lang w:val="fr-FR"/>
      </w:rPr>
      <w:t xml:space="preserve">Page </w:t>
    </w:r>
    <w:r w:rsidR="00332C35" w:rsidRPr="00332C35">
      <w:rPr>
        <w:rFonts w:ascii="Calibri" w:eastAsia="Calibri" w:hAnsi="Calibri" w:cs="Times New Roman"/>
        <w:b/>
        <w:bCs/>
        <w:sz w:val="22"/>
        <w:szCs w:val="22"/>
        <w:lang w:val="nl-BE"/>
      </w:rPr>
      <w:fldChar w:fldCharType="begin"/>
    </w:r>
    <w:r w:rsidR="00332C35" w:rsidRPr="00332C35">
      <w:rPr>
        <w:rFonts w:ascii="Calibri" w:eastAsia="Calibri" w:hAnsi="Calibri" w:cs="Times New Roman"/>
        <w:b/>
        <w:bCs/>
        <w:sz w:val="22"/>
        <w:szCs w:val="22"/>
        <w:lang w:val="nl-BE"/>
      </w:rPr>
      <w:instrText>PAGE  \* Arabic  \* MERGEFORMAT</w:instrText>
    </w:r>
    <w:r w:rsidR="00332C35" w:rsidRPr="00332C35">
      <w:rPr>
        <w:rFonts w:ascii="Calibri" w:eastAsia="Calibri" w:hAnsi="Calibri" w:cs="Times New Roman"/>
        <w:b/>
        <w:bCs/>
        <w:sz w:val="22"/>
        <w:szCs w:val="22"/>
        <w:lang w:val="nl-BE"/>
      </w:rPr>
      <w:fldChar w:fldCharType="separate"/>
    </w:r>
    <w:r w:rsidR="00332C35" w:rsidRPr="00332C35">
      <w:rPr>
        <w:rFonts w:ascii="Calibri" w:eastAsia="Calibri" w:hAnsi="Calibri" w:cs="Times New Roman"/>
        <w:b/>
        <w:bCs/>
        <w:sz w:val="22"/>
        <w:szCs w:val="22"/>
        <w:lang w:val="nl-BE"/>
      </w:rPr>
      <w:t>215</w:t>
    </w:r>
    <w:r w:rsidR="00332C35" w:rsidRPr="00332C35">
      <w:rPr>
        <w:rFonts w:ascii="Calibri" w:eastAsia="Calibri" w:hAnsi="Calibri" w:cs="Times New Roman"/>
        <w:b/>
        <w:bCs/>
        <w:sz w:val="22"/>
        <w:szCs w:val="22"/>
        <w:lang w:val="nl-BE"/>
      </w:rPr>
      <w:fldChar w:fldCharType="end"/>
    </w:r>
    <w:r w:rsidR="00332C35" w:rsidRPr="00332C35">
      <w:rPr>
        <w:rFonts w:ascii="Calibri" w:eastAsia="Calibri" w:hAnsi="Calibri" w:cs="Times New Roman"/>
        <w:sz w:val="22"/>
        <w:szCs w:val="22"/>
        <w:lang w:val="fr-FR"/>
      </w:rPr>
      <w:t xml:space="preserve"> sur </w:t>
    </w:r>
    <w:r w:rsidR="00332C35" w:rsidRPr="00332C35">
      <w:rPr>
        <w:rFonts w:ascii="Calibri" w:eastAsia="Calibri" w:hAnsi="Calibri" w:cs="Times New Roman"/>
        <w:b/>
        <w:bCs/>
        <w:sz w:val="22"/>
        <w:szCs w:val="22"/>
        <w:lang w:val="nl-BE"/>
      </w:rPr>
      <w:fldChar w:fldCharType="begin"/>
    </w:r>
    <w:r w:rsidR="00332C35" w:rsidRPr="00332C35">
      <w:rPr>
        <w:rFonts w:ascii="Calibri" w:eastAsia="Calibri" w:hAnsi="Calibri" w:cs="Times New Roman"/>
        <w:b/>
        <w:bCs/>
        <w:sz w:val="22"/>
        <w:szCs w:val="22"/>
        <w:lang w:val="nl-BE"/>
      </w:rPr>
      <w:instrText>NUMPAGES  \* Arabic  \* MERGEFORMAT</w:instrText>
    </w:r>
    <w:r w:rsidR="00332C35" w:rsidRPr="00332C35">
      <w:rPr>
        <w:rFonts w:ascii="Calibri" w:eastAsia="Calibri" w:hAnsi="Calibri" w:cs="Times New Roman"/>
        <w:b/>
        <w:bCs/>
        <w:sz w:val="22"/>
        <w:szCs w:val="22"/>
        <w:lang w:val="nl-BE"/>
      </w:rPr>
      <w:fldChar w:fldCharType="separate"/>
    </w:r>
    <w:r w:rsidR="00332C35" w:rsidRPr="00332C35">
      <w:rPr>
        <w:rFonts w:ascii="Calibri" w:eastAsia="Calibri" w:hAnsi="Calibri" w:cs="Times New Roman"/>
        <w:b/>
        <w:bCs/>
        <w:sz w:val="22"/>
        <w:szCs w:val="22"/>
        <w:lang w:val="nl-BE"/>
      </w:rPr>
      <w:t>316</w:t>
    </w:r>
    <w:r w:rsidR="00332C35" w:rsidRPr="00332C35">
      <w:rPr>
        <w:rFonts w:ascii="Calibri" w:eastAsia="Calibri" w:hAnsi="Calibri" w:cs="Times New Roman"/>
        <w:b/>
        <w:bCs/>
        <w:sz w:val="22"/>
        <w:szCs w:val="22"/>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C026" w14:textId="77777777" w:rsidR="000815F3" w:rsidRDefault="00E93694">
      <w:pPr>
        <w:spacing w:after="0" w:line="240" w:lineRule="auto"/>
      </w:pPr>
      <w:r>
        <w:separator/>
      </w:r>
    </w:p>
  </w:footnote>
  <w:footnote w:type="continuationSeparator" w:id="0">
    <w:p w14:paraId="10E7DDBC" w14:textId="77777777" w:rsidR="000815F3" w:rsidRDefault="00E9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1D37" w14:textId="7BF63439" w:rsidR="007B1E1F" w:rsidRPr="00332C35" w:rsidRDefault="00C85CAD" w:rsidP="00C77668">
    <w:pPr>
      <w:pStyle w:val="Koptekst"/>
      <w:rPr>
        <w:rFonts w:asciiTheme="minorHAnsi" w:hAnsiTheme="minorHAnsi" w:cstheme="minorHAnsi"/>
      </w:rPr>
    </w:pPr>
    <w:r>
      <w:tab/>
    </w:r>
    <w:r>
      <w:tab/>
      <w:t xml:space="preserve"> </w:t>
    </w:r>
    <w:r w:rsidRPr="00332C35">
      <w:rPr>
        <w:rFonts w:asciiTheme="minorHAnsi" w:eastAsiaTheme="majorEastAsia" w:hAnsiTheme="minorHAnsi" w:cstheme="minorHAnsi"/>
        <w:lang w:val="fr-FR"/>
      </w:rPr>
      <w:fldChar w:fldCharType="begin"/>
    </w:r>
    <w:r w:rsidRPr="00332C35">
      <w:rPr>
        <w:rFonts w:asciiTheme="minorHAnsi" w:eastAsiaTheme="majorEastAsia" w:hAnsiTheme="minorHAnsi" w:cstheme="minorHAnsi"/>
        <w:lang w:val="fr-FR"/>
      </w:rPr>
      <w:instrText xml:space="preserve"> REF LogoCabinetFr  \* MERGEFORMAT </w:instrText>
    </w:r>
    <w:r w:rsidRPr="00332C35">
      <w:rPr>
        <w:rFonts w:asciiTheme="minorHAnsi" w:eastAsiaTheme="majorEastAsia" w:hAnsiTheme="minorHAnsi" w:cstheme="minorHAnsi"/>
        <w:lang w:val="fr-FR"/>
      </w:rPr>
      <w:fldChar w:fldCharType="separate"/>
    </w:r>
    <w:r w:rsidRPr="00332C35">
      <w:rPr>
        <w:rFonts w:asciiTheme="minorHAnsi" w:eastAsiaTheme="majorEastAsia" w:hAnsiTheme="minorHAnsi" w:cstheme="minorHAnsi"/>
        <w:lang w:val="fr-FR"/>
      </w:rPr>
      <w:t> Insérer</w:t>
    </w:r>
    <w:r w:rsidRPr="00332C35">
      <w:rPr>
        <w:rFonts w:asciiTheme="minorHAnsi" w:hAnsiTheme="minorHAnsi" w:cstheme="minorHAnsi"/>
        <w:lang w:val="fr-FR" w:eastAsia="nl-NL"/>
      </w:rPr>
      <w:t xml:space="preserve"> ici le logo de</w:t>
    </w:r>
    <w:r w:rsidRPr="00332C35">
      <w:rPr>
        <w:rFonts w:asciiTheme="minorHAnsi" w:eastAsiaTheme="majorEastAsia" w:hAnsiTheme="minorHAnsi" w:cstheme="minorHAnsi"/>
        <w:lang w:val="fr-FR"/>
      </w:rPr>
      <w:t xml:space="preserve"> </w:t>
    </w:r>
    <w:r w:rsidRPr="00332C35">
      <w:rPr>
        <w:rFonts w:asciiTheme="minorHAnsi" w:hAnsiTheme="minorHAnsi" w:cstheme="minorHAnsi"/>
        <w:lang w:val="fr-FR" w:eastAsia="nl-NL"/>
      </w:rPr>
      <w:t xml:space="preserve">votre Cabinet </w:t>
    </w:r>
    <w:r w:rsidRPr="00332C35">
      <w:rPr>
        <w:rFonts w:asciiTheme="minorHAnsi" w:hAnsiTheme="minorHAnsi" w:cstheme="minorHAnsi"/>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04F"/>
    <w:multiLevelType w:val="hybridMultilevel"/>
    <w:tmpl w:val="BC5459CC"/>
    <w:lvl w:ilvl="0" w:tplc="080C000B">
      <w:start w:val="1"/>
      <w:numFmt w:val="bullet"/>
      <w:lvlText w:val=""/>
      <w:lvlJc w:val="left"/>
      <w:pPr>
        <w:ind w:left="721" w:hanging="360"/>
      </w:pPr>
      <w:rPr>
        <w:rFonts w:ascii="Wingdings" w:hAnsi="Wingdings"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AD"/>
    <w:rsid w:val="00056AF1"/>
    <w:rsid w:val="00073884"/>
    <w:rsid w:val="000815F3"/>
    <w:rsid w:val="000A0B38"/>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32C35"/>
    <w:rsid w:val="003418DD"/>
    <w:rsid w:val="00355452"/>
    <w:rsid w:val="00381B15"/>
    <w:rsid w:val="003F3847"/>
    <w:rsid w:val="003F5F8F"/>
    <w:rsid w:val="0042689E"/>
    <w:rsid w:val="004276F4"/>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A1B71"/>
    <w:rsid w:val="009B5280"/>
    <w:rsid w:val="00A06D0A"/>
    <w:rsid w:val="00A34152"/>
    <w:rsid w:val="00A87190"/>
    <w:rsid w:val="00A92BFC"/>
    <w:rsid w:val="00AE147F"/>
    <w:rsid w:val="00B06211"/>
    <w:rsid w:val="00B53C3C"/>
    <w:rsid w:val="00BE3183"/>
    <w:rsid w:val="00BE3EA3"/>
    <w:rsid w:val="00C060EE"/>
    <w:rsid w:val="00C4217F"/>
    <w:rsid w:val="00C85CAD"/>
    <w:rsid w:val="00CA4DEE"/>
    <w:rsid w:val="00CC6E93"/>
    <w:rsid w:val="00D366E6"/>
    <w:rsid w:val="00D71C18"/>
    <w:rsid w:val="00D93879"/>
    <w:rsid w:val="00DA4FA7"/>
    <w:rsid w:val="00DD0A48"/>
    <w:rsid w:val="00DD61F8"/>
    <w:rsid w:val="00E93694"/>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FAF1"/>
  <w15:chartTrackingRefBased/>
  <w15:docId w15:val="{F2EAF564-4ECF-42D3-A049-24DCB642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5CAD"/>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C85CAD"/>
    <w:pPr>
      <w:pageBreakBefore/>
      <w:spacing w:after="120"/>
      <w:outlineLvl w:val="1"/>
    </w:pPr>
    <w:rPr>
      <w:b/>
      <w:sz w:val="44"/>
      <w:szCs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85CAD"/>
    <w:rPr>
      <w:rFonts w:ascii="Arial" w:hAnsi="Arial" w:cs="Arial"/>
      <w:b/>
      <w:sz w:val="44"/>
      <w:szCs w:val="44"/>
    </w:rPr>
  </w:style>
  <w:style w:type="paragraph" w:styleId="Koptekst">
    <w:name w:val="header"/>
    <w:basedOn w:val="Standaard"/>
    <w:link w:val="KoptekstChar"/>
    <w:unhideWhenUsed/>
    <w:rsid w:val="00C85CAD"/>
    <w:pPr>
      <w:tabs>
        <w:tab w:val="center" w:pos="4513"/>
        <w:tab w:val="right" w:pos="9026"/>
      </w:tabs>
      <w:spacing w:after="0" w:line="240" w:lineRule="auto"/>
    </w:pPr>
  </w:style>
  <w:style w:type="character" w:customStyle="1" w:styleId="KoptekstChar">
    <w:name w:val="Koptekst Char"/>
    <w:basedOn w:val="Standaardalinea-lettertype"/>
    <w:link w:val="Koptekst"/>
    <w:rsid w:val="00C85CAD"/>
    <w:rPr>
      <w:rFonts w:ascii="Arial" w:hAnsi="Arial" w:cs="Arial"/>
      <w:sz w:val="20"/>
      <w:szCs w:val="20"/>
    </w:rPr>
  </w:style>
  <w:style w:type="paragraph" w:styleId="Geenafstand">
    <w:name w:val="No Spacing"/>
    <w:uiPriority w:val="1"/>
    <w:qFormat/>
    <w:rsid w:val="00C85CAD"/>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E9369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9369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10FD0-2AF1-4E57-80D8-05E719CAC72B}"/>
</file>

<file path=customXml/itemProps2.xml><?xml version="1.0" encoding="utf-8"?>
<ds:datastoreItem xmlns:ds="http://schemas.openxmlformats.org/officeDocument/2006/customXml" ds:itemID="{D053D81C-E478-4C11-AC4D-CD1ED0FFEA53}"/>
</file>

<file path=customXml/itemProps3.xml><?xml version="1.0" encoding="utf-8"?>
<ds:datastoreItem xmlns:ds="http://schemas.openxmlformats.org/officeDocument/2006/customXml" ds:itemID="{74CBD55C-A7C6-4870-B674-B624F7AF42E8}"/>
</file>

<file path=customXml/itemProps4.xml><?xml version="1.0" encoding="utf-8"?>
<ds:datastoreItem xmlns:ds="http://schemas.openxmlformats.org/officeDocument/2006/customXml" ds:itemID="{DE2586CD-84B8-4DDC-91DD-BAEC14169BEA}"/>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1715</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5</cp:revision>
  <dcterms:created xsi:type="dcterms:W3CDTF">2018-10-12T08:37:00Z</dcterms:created>
  <dcterms:modified xsi:type="dcterms:W3CDTF">2018-11-08T12:48:00Z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