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C039" w14:textId="77777777" w:rsidR="00D601E7" w:rsidRPr="00991668" w:rsidRDefault="00D601E7" w:rsidP="00D601E7">
      <w:pPr>
        <w:pStyle w:val="Kop2"/>
      </w:pPr>
      <w:bookmarkStart w:id="0" w:name="_Toc527021615"/>
      <w:bookmarkStart w:id="1" w:name="_Toc391907425"/>
      <w:bookmarkStart w:id="2" w:name="_Toc392492490"/>
      <w:bookmarkStart w:id="3" w:name="_Toc396478167"/>
      <w:bookmarkStart w:id="4" w:name="_Toc396478592"/>
      <w:bookmarkStart w:id="5" w:name="_Hlk519601376"/>
      <w:bookmarkStart w:id="6" w:name="_Hlk519601505"/>
      <w:r w:rsidRPr="00991668">
        <w:t>Checklist Suivi des résultats de la revue annuelle de conformité du système interne de contrôle qualité</w:t>
      </w:r>
      <w:bookmarkEnd w:id="0"/>
      <w:r w:rsidRPr="00991668">
        <w:t xml:space="preserve"> </w:t>
      </w:r>
      <w:bookmarkEnd w:id="1"/>
      <w:bookmarkEnd w:id="2"/>
      <w:bookmarkEnd w:id="3"/>
      <w:bookmarkEnd w:id="4"/>
    </w:p>
    <w:p w14:paraId="7F853D45" w14:textId="77777777" w:rsidR="00D601E7" w:rsidRPr="007038E4" w:rsidRDefault="00D601E7" w:rsidP="00D601E7">
      <w:pPr>
        <w:pStyle w:val="Kop3"/>
      </w:pPr>
      <w:bookmarkStart w:id="7" w:name="_Toc391907426"/>
      <w:bookmarkStart w:id="8" w:name="_Toc392492491"/>
      <w:bookmarkStart w:id="9" w:name="_Toc396478593"/>
      <w:bookmarkEnd w:id="5"/>
      <w:r w:rsidRPr="007038E4">
        <w:t>Dossiers revus</w:t>
      </w:r>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3088"/>
        <w:gridCol w:w="1387"/>
        <w:gridCol w:w="1473"/>
        <w:gridCol w:w="1084"/>
        <w:gridCol w:w="1079"/>
      </w:tblGrid>
      <w:tr w:rsidR="00D601E7" w:rsidRPr="007038E4" w14:paraId="5A584983" w14:textId="77777777" w:rsidTr="00475E8B">
        <w:tc>
          <w:tcPr>
            <w:tcW w:w="950" w:type="dxa"/>
          </w:tcPr>
          <w:p w14:paraId="358C75DB" w14:textId="77777777" w:rsidR="00D601E7" w:rsidRPr="00991668" w:rsidRDefault="00D601E7" w:rsidP="00475E8B">
            <w:pPr>
              <w:spacing w:before="120"/>
              <w:jc w:val="center"/>
              <w:rPr>
                <w:rFonts w:eastAsia="Calibri"/>
                <w:b/>
                <w:lang w:eastAsia="fr-FR"/>
              </w:rPr>
            </w:pPr>
            <w:r w:rsidRPr="00991668">
              <w:rPr>
                <w:rFonts w:eastAsia="Calibri"/>
                <w:b/>
                <w:lang w:eastAsia="fr-FR"/>
              </w:rPr>
              <w:t>Dossier</w:t>
            </w:r>
          </w:p>
        </w:tc>
        <w:tc>
          <w:tcPr>
            <w:tcW w:w="3088" w:type="dxa"/>
          </w:tcPr>
          <w:p w14:paraId="68921AB6" w14:textId="77777777" w:rsidR="00D601E7" w:rsidRPr="00991668" w:rsidRDefault="00D601E7" w:rsidP="00475E8B">
            <w:pPr>
              <w:spacing w:before="120"/>
              <w:jc w:val="center"/>
              <w:rPr>
                <w:rFonts w:eastAsia="Calibri"/>
                <w:b/>
                <w:lang w:eastAsia="fr-FR"/>
              </w:rPr>
            </w:pPr>
            <w:r w:rsidRPr="00991668">
              <w:rPr>
                <w:rFonts w:eastAsia="Calibri"/>
                <w:b/>
                <w:lang w:eastAsia="fr-FR"/>
              </w:rPr>
              <w:t>Client</w:t>
            </w:r>
          </w:p>
        </w:tc>
        <w:tc>
          <w:tcPr>
            <w:tcW w:w="1387" w:type="dxa"/>
          </w:tcPr>
          <w:p w14:paraId="4817B53F" w14:textId="77777777" w:rsidR="00D601E7" w:rsidRPr="00991668" w:rsidRDefault="00D601E7" w:rsidP="00475E8B">
            <w:pPr>
              <w:spacing w:before="120"/>
              <w:jc w:val="center"/>
              <w:rPr>
                <w:rFonts w:eastAsia="Calibri"/>
                <w:b/>
                <w:lang w:eastAsia="fr-FR"/>
              </w:rPr>
            </w:pPr>
            <w:r w:rsidRPr="00991668">
              <w:rPr>
                <w:rFonts w:eastAsia="Calibri"/>
                <w:b/>
                <w:lang w:eastAsia="fr-FR"/>
              </w:rPr>
              <w:t>Date de clôture</w:t>
            </w:r>
          </w:p>
        </w:tc>
        <w:tc>
          <w:tcPr>
            <w:tcW w:w="1473" w:type="dxa"/>
          </w:tcPr>
          <w:p w14:paraId="509118C3" w14:textId="77777777" w:rsidR="00D601E7" w:rsidRPr="00991668" w:rsidRDefault="00D601E7" w:rsidP="00475E8B">
            <w:pPr>
              <w:spacing w:before="120"/>
              <w:jc w:val="center"/>
              <w:rPr>
                <w:rFonts w:eastAsia="Calibri"/>
                <w:b/>
                <w:lang w:eastAsia="fr-FR"/>
              </w:rPr>
            </w:pPr>
            <w:r w:rsidRPr="00991668">
              <w:rPr>
                <w:rFonts w:eastAsia="Calibri"/>
                <w:b/>
                <w:lang w:eastAsia="fr-FR"/>
              </w:rPr>
              <w:t>Réviseur d’entreprises</w:t>
            </w:r>
          </w:p>
        </w:tc>
        <w:tc>
          <w:tcPr>
            <w:tcW w:w="1084" w:type="dxa"/>
          </w:tcPr>
          <w:p w14:paraId="696FD9BD" w14:textId="77777777" w:rsidR="00D601E7" w:rsidRPr="00991668" w:rsidRDefault="00D601E7" w:rsidP="00475E8B">
            <w:pPr>
              <w:spacing w:before="120"/>
              <w:jc w:val="center"/>
              <w:rPr>
                <w:rFonts w:eastAsia="Calibri"/>
                <w:b/>
                <w:lang w:eastAsia="fr-FR"/>
              </w:rPr>
            </w:pPr>
            <w:r w:rsidRPr="00991668">
              <w:rPr>
                <w:rFonts w:eastAsia="Calibri"/>
                <w:b/>
                <w:lang w:eastAsia="fr-FR"/>
              </w:rPr>
              <w:t>Type de revue</w:t>
            </w:r>
          </w:p>
        </w:tc>
        <w:tc>
          <w:tcPr>
            <w:tcW w:w="1079" w:type="dxa"/>
          </w:tcPr>
          <w:p w14:paraId="03010CE4" w14:textId="77777777" w:rsidR="00D601E7" w:rsidRPr="00991668" w:rsidRDefault="00D601E7" w:rsidP="00475E8B">
            <w:pPr>
              <w:spacing w:before="120"/>
              <w:jc w:val="center"/>
              <w:rPr>
                <w:rFonts w:eastAsia="Calibri"/>
                <w:b/>
                <w:lang w:eastAsia="fr-FR"/>
              </w:rPr>
            </w:pPr>
            <w:r w:rsidRPr="00991668">
              <w:rPr>
                <w:rFonts w:eastAsia="Calibri"/>
                <w:b/>
                <w:lang w:eastAsia="fr-FR"/>
              </w:rPr>
              <w:t>Résultat</w:t>
            </w:r>
          </w:p>
        </w:tc>
      </w:tr>
      <w:tr w:rsidR="00D601E7" w:rsidRPr="007038E4" w14:paraId="7A3B6378" w14:textId="77777777" w:rsidTr="00475E8B">
        <w:trPr>
          <w:trHeight w:val="399"/>
        </w:trPr>
        <w:tc>
          <w:tcPr>
            <w:tcW w:w="950" w:type="dxa"/>
          </w:tcPr>
          <w:p w14:paraId="080919C3" w14:textId="77777777" w:rsidR="00D601E7" w:rsidRPr="00991668" w:rsidRDefault="00D601E7" w:rsidP="00475E8B">
            <w:pPr>
              <w:spacing w:before="120" w:line="312" w:lineRule="auto"/>
              <w:rPr>
                <w:rFonts w:eastAsia="Calibri"/>
                <w:u w:val="single"/>
                <w:lang w:eastAsia="fr-FR"/>
              </w:rPr>
            </w:pPr>
            <w:r w:rsidRPr="00991668">
              <w:rPr>
                <w:rFonts w:eastAsia="Calibri"/>
                <w:lang w:eastAsia="fr-FR"/>
              </w:rPr>
              <w:t>1</w:t>
            </w:r>
          </w:p>
        </w:tc>
        <w:tc>
          <w:tcPr>
            <w:tcW w:w="3088" w:type="dxa"/>
          </w:tcPr>
          <w:p w14:paraId="602DF8EC"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387" w:type="dxa"/>
          </w:tcPr>
          <w:p w14:paraId="5EB36095"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473" w:type="dxa"/>
          </w:tcPr>
          <w:p w14:paraId="228D0EB8"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084" w:type="dxa"/>
          </w:tcPr>
          <w:p w14:paraId="187A737A"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079" w:type="dxa"/>
          </w:tcPr>
          <w:p w14:paraId="2CACBF80"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50682A86" w14:textId="77777777" w:rsidTr="00475E8B">
        <w:tc>
          <w:tcPr>
            <w:tcW w:w="950" w:type="dxa"/>
          </w:tcPr>
          <w:p w14:paraId="5363E7DB" w14:textId="77777777" w:rsidR="00D601E7" w:rsidRPr="00991668" w:rsidRDefault="00D601E7" w:rsidP="00475E8B">
            <w:pPr>
              <w:spacing w:before="120" w:line="312" w:lineRule="auto"/>
              <w:rPr>
                <w:rFonts w:eastAsia="Calibri"/>
                <w:u w:val="single"/>
                <w:lang w:eastAsia="fr-FR"/>
              </w:rPr>
            </w:pPr>
            <w:r w:rsidRPr="00991668">
              <w:rPr>
                <w:rFonts w:eastAsia="Calibri"/>
                <w:lang w:eastAsia="fr-FR"/>
              </w:rPr>
              <w:t>2</w:t>
            </w:r>
          </w:p>
        </w:tc>
        <w:tc>
          <w:tcPr>
            <w:tcW w:w="3088" w:type="dxa"/>
          </w:tcPr>
          <w:p w14:paraId="3AC2A0BD"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387" w:type="dxa"/>
          </w:tcPr>
          <w:p w14:paraId="579D46E1"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473" w:type="dxa"/>
          </w:tcPr>
          <w:p w14:paraId="47B505DF"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084" w:type="dxa"/>
          </w:tcPr>
          <w:p w14:paraId="06AF1794"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079" w:type="dxa"/>
          </w:tcPr>
          <w:p w14:paraId="06283AE6"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7D32CF0D" w14:textId="77777777" w:rsidTr="00475E8B">
        <w:tc>
          <w:tcPr>
            <w:tcW w:w="950" w:type="dxa"/>
          </w:tcPr>
          <w:p w14:paraId="47342D85" w14:textId="77777777" w:rsidR="00D601E7" w:rsidRPr="00991668" w:rsidRDefault="00D601E7" w:rsidP="00475E8B">
            <w:pPr>
              <w:spacing w:before="120" w:line="312" w:lineRule="auto"/>
              <w:rPr>
                <w:rFonts w:eastAsia="Calibri"/>
                <w:u w:val="single"/>
                <w:lang w:eastAsia="fr-FR"/>
              </w:rPr>
            </w:pPr>
            <w:r w:rsidRPr="00991668">
              <w:rPr>
                <w:rFonts w:eastAsia="Calibri"/>
                <w:lang w:eastAsia="fr-FR"/>
              </w:rPr>
              <w:t>3</w:t>
            </w:r>
          </w:p>
        </w:tc>
        <w:tc>
          <w:tcPr>
            <w:tcW w:w="3088" w:type="dxa"/>
          </w:tcPr>
          <w:p w14:paraId="37C33529"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387" w:type="dxa"/>
          </w:tcPr>
          <w:p w14:paraId="56DB4AAC"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473" w:type="dxa"/>
          </w:tcPr>
          <w:p w14:paraId="35CC8E17"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084" w:type="dxa"/>
          </w:tcPr>
          <w:p w14:paraId="0373C786"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079" w:type="dxa"/>
          </w:tcPr>
          <w:p w14:paraId="0BBA17E1"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bl>
    <w:p w14:paraId="213E2E65" w14:textId="77777777" w:rsidR="00D601E7" w:rsidRPr="00991668" w:rsidRDefault="00D601E7" w:rsidP="00D601E7">
      <w:pPr>
        <w:pStyle w:val="Kop3"/>
        <w:rPr>
          <w:lang w:eastAsia="fr-FR"/>
        </w:rPr>
      </w:pPr>
      <w:bookmarkStart w:id="10" w:name="_Toc391907427"/>
      <w:bookmarkStart w:id="11" w:name="_Toc392492492"/>
      <w:bookmarkStart w:id="12" w:name="_Toc396478594"/>
      <w:r w:rsidRPr="00991668">
        <w:t>Points d’attention</w:t>
      </w:r>
      <w:bookmarkEnd w:id="10"/>
      <w:bookmarkEnd w:id="11"/>
      <w:bookmarkEnd w:id="12"/>
    </w:p>
    <w:p w14:paraId="69869827" w14:textId="77777777" w:rsidR="00D601E7" w:rsidRPr="00991668" w:rsidRDefault="00D601E7" w:rsidP="00D601E7">
      <w:pPr>
        <w:rPr>
          <w:b/>
          <w:lang w:eastAsia="fr-FR"/>
        </w:rPr>
      </w:pPr>
      <w:r w:rsidRPr="00991668">
        <w:rPr>
          <w:b/>
          <w:lang w:eastAsia="fr-FR"/>
        </w:rPr>
        <w:t>Dossier 1</w:t>
      </w:r>
    </w:p>
    <w:tbl>
      <w:tblPr>
        <w:tblW w:w="0" w:type="auto"/>
        <w:tblLook w:val="01E0" w:firstRow="1" w:lastRow="1" w:firstColumn="1" w:lastColumn="1" w:noHBand="0" w:noVBand="0"/>
      </w:tblPr>
      <w:tblGrid>
        <w:gridCol w:w="8531"/>
      </w:tblGrid>
      <w:tr w:rsidR="00D601E7" w:rsidRPr="007038E4" w14:paraId="1E72B0F6" w14:textId="77777777" w:rsidTr="00475E8B">
        <w:tc>
          <w:tcPr>
            <w:tcW w:w="8531" w:type="dxa"/>
            <w:tcBorders>
              <w:top w:val="single" w:sz="4" w:space="0" w:color="auto"/>
              <w:left w:val="single" w:sz="4" w:space="0" w:color="auto"/>
              <w:bottom w:val="single" w:sz="4" w:space="0" w:color="auto"/>
              <w:right w:val="single" w:sz="4" w:space="0" w:color="auto"/>
            </w:tcBorders>
          </w:tcPr>
          <w:p w14:paraId="6B880A99" w14:textId="77777777" w:rsidR="00D601E7" w:rsidRPr="00991668" w:rsidRDefault="00D601E7" w:rsidP="00475E8B">
            <w:pPr>
              <w:spacing w:before="120" w:line="312" w:lineRule="auto"/>
              <w:ind w:left="750"/>
              <w:rPr>
                <w:rFonts w:eastAsia="Calibri"/>
                <w:u w:val="single"/>
                <w:lang w:eastAsia="fr-FR"/>
              </w:rPr>
            </w:pPr>
            <w:r w:rsidRPr="00991668">
              <w:rPr>
                <w:rFonts w:eastAsia="Calibri"/>
                <w:u w:val="single"/>
                <w:lang w:eastAsia="fr-FR"/>
              </w:rPr>
              <w:t>Généralités</w:t>
            </w:r>
          </w:p>
          <w:p w14:paraId="5D0B8824"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p>
        </w:tc>
      </w:tr>
    </w:tbl>
    <w:p w14:paraId="30FB85B7" w14:textId="77777777" w:rsidR="00D601E7" w:rsidRPr="00991668" w:rsidRDefault="00D601E7" w:rsidP="00D601E7">
      <w:pPr>
        <w:pStyle w:val="Kop3"/>
        <w:rPr>
          <w:i w:val="0"/>
          <w:lang w:eastAsia="fr-FR"/>
        </w:rPr>
      </w:pPr>
      <w:bookmarkStart w:id="13" w:name="_Toc391907428"/>
      <w:bookmarkStart w:id="14" w:name="_Toc392492493"/>
      <w:bookmarkStart w:id="15" w:name="_Toc396478595"/>
      <w:r w:rsidRPr="00991668">
        <w:rPr>
          <w:lang w:eastAsia="fr-FR"/>
        </w:rPr>
        <w:t>Dossier permanent</w:t>
      </w:r>
      <w:bookmarkEnd w:id="13"/>
      <w:bookmarkEnd w:id="14"/>
      <w:bookmarkEnd w:id="15"/>
      <w:r w:rsidRPr="00991668">
        <w:rPr>
          <w:lang w:eastAsia="fr-FR"/>
        </w:rPr>
        <w:t xml:space="preserve"> </w:t>
      </w:r>
    </w:p>
    <w:tbl>
      <w:tblPr>
        <w:tblW w:w="0" w:type="auto"/>
        <w:tblLook w:val="01E0" w:firstRow="1" w:lastRow="1" w:firstColumn="1" w:lastColumn="1" w:noHBand="0" w:noVBand="0"/>
      </w:tblPr>
      <w:tblGrid>
        <w:gridCol w:w="4265"/>
        <w:gridCol w:w="4266"/>
      </w:tblGrid>
      <w:tr w:rsidR="00D601E7" w:rsidRPr="007038E4" w14:paraId="7027DCFF" w14:textId="77777777" w:rsidTr="00475E8B">
        <w:tc>
          <w:tcPr>
            <w:tcW w:w="4265" w:type="dxa"/>
            <w:tcBorders>
              <w:top w:val="single" w:sz="4" w:space="0" w:color="auto"/>
              <w:left w:val="single" w:sz="4" w:space="0" w:color="auto"/>
              <w:bottom w:val="single" w:sz="4" w:space="0" w:color="auto"/>
              <w:right w:val="single" w:sz="4" w:space="0" w:color="auto"/>
            </w:tcBorders>
          </w:tcPr>
          <w:p w14:paraId="3C4587BC" w14:textId="77777777" w:rsidR="00D601E7" w:rsidRPr="00991668" w:rsidRDefault="00D601E7" w:rsidP="00475E8B">
            <w:pPr>
              <w:jc w:val="center"/>
              <w:rPr>
                <w:rFonts w:eastAsia="Calibri"/>
                <w:b/>
                <w:lang w:eastAsia="fr-FR"/>
              </w:rPr>
            </w:pPr>
            <w:r w:rsidRPr="00991668">
              <w:rPr>
                <w:rFonts w:eastAsia="Calibri"/>
                <w:b/>
                <w:lang w:eastAsia="fr-FR"/>
              </w:rPr>
              <w:t>Points d’attention</w:t>
            </w:r>
          </w:p>
        </w:tc>
        <w:tc>
          <w:tcPr>
            <w:tcW w:w="4266" w:type="dxa"/>
            <w:tcBorders>
              <w:top w:val="single" w:sz="4" w:space="0" w:color="auto"/>
              <w:left w:val="single" w:sz="4" w:space="0" w:color="auto"/>
              <w:bottom w:val="single" w:sz="4" w:space="0" w:color="auto"/>
              <w:right w:val="single" w:sz="4" w:space="0" w:color="auto"/>
            </w:tcBorders>
          </w:tcPr>
          <w:p w14:paraId="5275115C" w14:textId="77777777" w:rsidR="00D601E7" w:rsidRPr="00991668" w:rsidRDefault="00D601E7" w:rsidP="00475E8B">
            <w:pPr>
              <w:jc w:val="center"/>
              <w:rPr>
                <w:rFonts w:eastAsia="Calibri"/>
                <w:b/>
                <w:lang w:eastAsia="fr-FR"/>
              </w:rPr>
            </w:pPr>
            <w:r w:rsidRPr="00991668">
              <w:rPr>
                <w:rFonts w:eastAsia="Calibri"/>
                <w:b/>
                <w:lang w:eastAsia="fr-FR"/>
              </w:rPr>
              <w:t>Actions prises</w:t>
            </w:r>
          </w:p>
        </w:tc>
      </w:tr>
      <w:tr w:rsidR="00D601E7" w:rsidRPr="007038E4" w14:paraId="139B6521" w14:textId="77777777" w:rsidTr="00475E8B">
        <w:tc>
          <w:tcPr>
            <w:tcW w:w="4265" w:type="dxa"/>
            <w:tcBorders>
              <w:top w:val="single" w:sz="4" w:space="0" w:color="auto"/>
              <w:left w:val="single" w:sz="4" w:space="0" w:color="auto"/>
              <w:bottom w:val="single" w:sz="4" w:space="0" w:color="auto"/>
              <w:right w:val="single" w:sz="4" w:space="0" w:color="auto"/>
            </w:tcBorders>
          </w:tcPr>
          <w:p w14:paraId="44561607"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Lettre de mission</w:t>
            </w:r>
          </w:p>
          <w:p w14:paraId="3597D9E5"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1D8EE762" w14:textId="77777777" w:rsidR="00D601E7" w:rsidRPr="00991668" w:rsidRDefault="00D601E7" w:rsidP="00475E8B">
            <w:pPr>
              <w:spacing w:before="120" w:line="312" w:lineRule="auto"/>
              <w:rPr>
                <w:rFonts w:eastAsia="Calibri"/>
                <w:highlight w:val="yellow"/>
                <w:u w:val="single"/>
                <w:lang w:eastAsia="fr-FR"/>
              </w:rPr>
            </w:pPr>
          </w:p>
          <w:p w14:paraId="0E4F4F21"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3C886A5D" w14:textId="77777777" w:rsidTr="00475E8B">
        <w:tc>
          <w:tcPr>
            <w:tcW w:w="4265" w:type="dxa"/>
            <w:tcBorders>
              <w:top w:val="single" w:sz="4" w:space="0" w:color="auto"/>
              <w:left w:val="single" w:sz="4" w:space="0" w:color="auto"/>
              <w:bottom w:val="single" w:sz="4" w:space="0" w:color="auto"/>
              <w:right w:val="single" w:sz="4" w:space="0" w:color="auto"/>
            </w:tcBorders>
          </w:tcPr>
          <w:p w14:paraId="4B83690C"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Connaissance de fond</w:t>
            </w:r>
          </w:p>
          <w:p w14:paraId="0B61C4D5"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40C8E031" w14:textId="77777777" w:rsidR="00D601E7" w:rsidRPr="00991668" w:rsidRDefault="00D601E7" w:rsidP="00475E8B">
            <w:pPr>
              <w:spacing w:before="120" w:line="312" w:lineRule="auto"/>
              <w:rPr>
                <w:rFonts w:eastAsia="Calibri"/>
                <w:highlight w:val="yellow"/>
                <w:u w:val="single"/>
                <w:lang w:eastAsia="fr-FR"/>
              </w:rPr>
            </w:pPr>
          </w:p>
          <w:p w14:paraId="754D9635"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5B82220D" w14:textId="77777777" w:rsidTr="00475E8B">
        <w:tc>
          <w:tcPr>
            <w:tcW w:w="4265" w:type="dxa"/>
            <w:tcBorders>
              <w:top w:val="single" w:sz="4" w:space="0" w:color="auto"/>
              <w:left w:val="single" w:sz="4" w:space="0" w:color="auto"/>
              <w:bottom w:val="single" w:sz="4" w:space="0" w:color="auto"/>
              <w:right w:val="single" w:sz="4" w:space="0" w:color="auto"/>
            </w:tcBorders>
          </w:tcPr>
          <w:p w14:paraId="5865360B"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Lois et réglementations</w:t>
            </w:r>
          </w:p>
          <w:p w14:paraId="3DD7300B"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035AECFE" w14:textId="77777777" w:rsidR="00D601E7" w:rsidRPr="00991668" w:rsidRDefault="00D601E7" w:rsidP="00475E8B">
            <w:pPr>
              <w:spacing w:before="120" w:line="312" w:lineRule="auto"/>
              <w:rPr>
                <w:rFonts w:eastAsia="Calibri"/>
                <w:highlight w:val="yellow"/>
                <w:u w:val="single"/>
                <w:lang w:eastAsia="fr-FR"/>
              </w:rPr>
            </w:pPr>
          </w:p>
          <w:p w14:paraId="52427B54"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3D1538E2" w14:textId="77777777" w:rsidTr="00475E8B">
        <w:tc>
          <w:tcPr>
            <w:tcW w:w="4265" w:type="dxa"/>
            <w:tcBorders>
              <w:top w:val="single" w:sz="4" w:space="0" w:color="auto"/>
              <w:left w:val="single" w:sz="4" w:space="0" w:color="auto"/>
              <w:bottom w:val="single" w:sz="4" w:space="0" w:color="auto"/>
              <w:right w:val="single" w:sz="4" w:space="0" w:color="auto"/>
            </w:tcBorders>
          </w:tcPr>
          <w:p w14:paraId="2A613314"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Parties liées</w:t>
            </w:r>
            <w:bookmarkStart w:id="16" w:name="_GoBack"/>
            <w:bookmarkEnd w:id="16"/>
          </w:p>
          <w:p w14:paraId="6DF13E62"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5AF337AD" w14:textId="77777777" w:rsidR="00D601E7" w:rsidRPr="00991668" w:rsidRDefault="00D601E7" w:rsidP="00475E8B">
            <w:pPr>
              <w:spacing w:before="120" w:line="312" w:lineRule="auto"/>
              <w:rPr>
                <w:rFonts w:eastAsia="Calibri"/>
                <w:highlight w:val="yellow"/>
                <w:u w:val="single"/>
                <w:lang w:eastAsia="fr-FR"/>
              </w:rPr>
            </w:pPr>
          </w:p>
          <w:p w14:paraId="3FABCE46"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17060C62" w14:textId="77777777" w:rsidTr="00475E8B">
        <w:tc>
          <w:tcPr>
            <w:tcW w:w="4265" w:type="dxa"/>
            <w:tcBorders>
              <w:top w:val="single" w:sz="4" w:space="0" w:color="auto"/>
              <w:left w:val="single" w:sz="4" w:space="0" w:color="auto"/>
              <w:bottom w:val="single" w:sz="4" w:space="0" w:color="auto"/>
              <w:right w:val="single" w:sz="4" w:space="0" w:color="auto"/>
            </w:tcBorders>
          </w:tcPr>
          <w:p w14:paraId="72340DB1"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lastRenderedPageBreak/>
              <w:t>Risques de l’entité et son environnement</w:t>
            </w:r>
          </w:p>
          <w:p w14:paraId="51FE261A"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1E089561" w14:textId="77777777" w:rsidR="00D601E7" w:rsidRPr="00991668" w:rsidRDefault="00D601E7" w:rsidP="00475E8B">
            <w:pPr>
              <w:spacing w:before="120" w:line="312" w:lineRule="auto"/>
              <w:rPr>
                <w:rFonts w:eastAsia="Calibri"/>
                <w:highlight w:val="yellow"/>
                <w:u w:val="single"/>
                <w:lang w:eastAsia="fr-FR"/>
              </w:rPr>
            </w:pPr>
          </w:p>
          <w:p w14:paraId="4A576D39"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745A3F16" w14:textId="77777777" w:rsidTr="00475E8B">
        <w:tc>
          <w:tcPr>
            <w:tcW w:w="4265" w:type="dxa"/>
            <w:tcBorders>
              <w:top w:val="single" w:sz="4" w:space="0" w:color="auto"/>
              <w:left w:val="single" w:sz="4" w:space="0" w:color="auto"/>
              <w:bottom w:val="single" w:sz="4" w:space="0" w:color="auto"/>
              <w:right w:val="single" w:sz="4" w:space="0" w:color="auto"/>
            </w:tcBorders>
          </w:tcPr>
          <w:p w14:paraId="5E15DBEC"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Evaluation des audits</w:t>
            </w:r>
          </w:p>
          <w:p w14:paraId="07A2E227"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0ECA977C" w14:textId="77777777" w:rsidR="00D601E7" w:rsidRPr="00991668" w:rsidRDefault="00D601E7" w:rsidP="00475E8B">
            <w:pPr>
              <w:spacing w:before="120" w:line="312" w:lineRule="auto"/>
              <w:rPr>
                <w:rFonts w:eastAsia="Calibri"/>
                <w:highlight w:val="yellow"/>
                <w:u w:val="single"/>
                <w:lang w:eastAsia="fr-FR"/>
              </w:rPr>
            </w:pPr>
          </w:p>
          <w:p w14:paraId="0D22350F"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71E754AD" w14:textId="77777777" w:rsidTr="00475E8B">
        <w:tc>
          <w:tcPr>
            <w:tcW w:w="4265" w:type="dxa"/>
            <w:tcBorders>
              <w:top w:val="single" w:sz="4" w:space="0" w:color="auto"/>
              <w:left w:val="single" w:sz="4" w:space="0" w:color="auto"/>
              <w:bottom w:val="single" w:sz="4" w:space="0" w:color="auto"/>
              <w:right w:val="single" w:sz="4" w:space="0" w:color="auto"/>
            </w:tcBorders>
          </w:tcPr>
          <w:p w14:paraId="45332980"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Evaluation du système comptable</w:t>
            </w:r>
          </w:p>
          <w:p w14:paraId="56CBECBD"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6845F54F" w14:textId="77777777" w:rsidR="00D601E7" w:rsidRPr="00991668" w:rsidRDefault="00D601E7" w:rsidP="00475E8B">
            <w:pPr>
              <w:spacing w:before="120" w:line="312" w:lineRule="auto"/>
              <w:rPr>
                <w:rFonts w:eastAsia="Calibri"/>
                <w:highlight w:val="yellow"/>
                <w:u w:val="single"/>
                <w:lang w:eastAsia="fr-FR"/>
              </w:rPr>
            </w:pPr>
          </w:p>
          <w:p w14:paraId="5EE0D20E"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bl>
    <w:p w14:paraId="52A858C6" w14:textId="77777777" w:rsidR="00D601E7" w:rsidRPr="00991668" w:rsidRDefault="00D601E7" w:rsidP="00D601E7">
      <w:pPr>
        <w:pStyle w:val="Kop3"/>
        <w:rPr>
          <w:lang w:eastAsia="fr-FR"/>
        </w:rPr>
      </w:pPr>
      <w:bookmarkStart w:id="17" w:name="_Toc391907429"/>
      <w:bookmarkStart w:id="18" w:name="_Toc392492494"/>
      <w:bookmarkStart w:id="19" w:name="_Toc396478596"/>
      <w:r w:rsidRPr="00991668">
        <w:t>Planification</w:t>
      </w:r>
      <w:bookmarkEnd w:id="17"/>
      <w:bookmarkEnd w:id="18"/>
      <w:bookmarkEnd w:id="19"/>
    </w:p>
    <w:tbl>
      <w:tblPr>
        <w:tblW w:w="0" w:type="auto"/>
        <w:tblLook w:val="01E0" w:firstRow="1" w:lastRow="1" w:firstColumn="1" w:lastColumn="1" w:noHBand="0" w:noVBand="0"/>
      </w:tblPr>
      <w:tblGrid>
        <w:gridCol w:w="4265"/>
        <w:gridCol w:w="4266"/>
      </w:tblGrid>
      <w:tr w:rsidR="00D601E7" w:rsidRPr="007038E4" w14:paraId="1731810D" w14:textId="77777777" w:rsidTr="00475E8B">
        <w:tc>
          <w:tcPr>
            <w:tcW w:w="4265" w:type="dxa"/>
            <w:tcBorders>
              <w:top w:val="single" w:sz="4" w:space="0" w:color="auto"/>
              <w:left w:val="single" w:sz="4" w:space="0" w:color="auto"/>
              <w:bottom w:val="single" w:sz="4" w:space="0" w:color="auto"/>
              <w:right w:val="single" w:sz="4" w:space="0" w:color="auto"/>
            </w:tcBorders>
          </w:tcPr>
          <w:p w14:paraId="1F627B60" w14:textId="77777777" w:rsidR="00D601E7" w:rsidRPr="00991668" w:rsidRDefault="00D601E7" w:rsidP="00475E8B">
            <w:pPr>
              <w:spacing w:before="120" w:line="312" w:lineRule="auto"/>
              <w:jc w:val="center"/>
              <w:rPr>
                <w:rFonts w:eastAsia="Calibri"/>
                <w:b/>
                <w:lang w:eastAsia="fr-FR"/>
              </w:rPr>
            </w:pPr>
            <w:r w:rsidRPr="00991668">
              <w:rPr>
                <w:rFonts w:eastAsia="Calibri"/>
                <w:b/>
                <w:lang w:eastAsia="fr-FR"/>
              </w:rPr>
              <w:t>Points d’attention</w:t>
            </w:r>
          </w:p>
        </w:tc>
        <w:tc>
          <w:tcPr>
            <w:tcW w:w="4266" w:type="dxa"/>
            <w:tcBorders>
              <w:top w:val="single" w:sz="4" w:space="0" w:color="auto"/>
              <w:left w:val="single" w:sz="4" w:space="0" w:color="auto"/>
              <w:bottom w:val="single" w:sz="4" w:space="0" w:color="auto"/>
              <w:right w:val="single" w:sz="4" w:space="0" w:color="auto"/>
            </w:tcBorders>
          </w:tcPr>
          <w:p w14:paraId="2023C461" w14:textId="77777777" w:rsidR="00D601E7" w:rsidRPr="00991668" w:rsidRDefault="00D601E7" w:rsidP="00475E8B">
            <w:pPr>
              <w:spacing w:before="120" w:line="312" w:lineRule="auto"/>
              <w:jc w:val="center"/>
              <w:rPr>
                <w:rFonts w:eastAsia="Calibri"/>
                <w:lang w:eastAsia="fr-FR"/>
              </w:rPr>
            </w:pPr>
            <w:r w:rsidRPr="00991668">
              <w:rPr>
                <w:rFonts w:eastAsia="Calibri"/>
                <w:b/>
                <w:lang w:eastAsia="fr-FR"/>
              </w:rPr>
              <w:t>Actions prises</w:t>
            </w:r>
          </w:p>
        </w:tc>
      </w:tr>
      <w:tr w:rsidR="00D601E7" w:rsidRPr="007038E4" w14:paraId="5F5EAC06"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13091F5"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Indépendance</w:t>
            </w:r>
          </w:p>
          <w:p w14:paraId="1F5C53B9"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404B361" w14:textId="77777777" w:rsidR="00D601E7" w:rsidRPr="00991668" w:rsidRDefault="00D601E7" w:rsidP="00475E8B">
            <w:pPr>
              <w:spacing w:before="120" w:line="312" w:lineRule="auto"/>
              <w:rPr>
                <w:rFonts w:eastAsia="Calibri"/>
                <w:highlight w:val="yellow"/>
                <w:u w:val="single"/>
                <w:lang w:eastAsia="fr-FR"/>
              </w:rPr>
            </w:pPr>
          </w:p>
          <w:p w14:paraId="33625B8B"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6D4A063B"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DFA5BCA"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Risque et seuil significatif</w:t>
            </w:r>
          </w:p>
          <w:p w14:paraId="18A026A8"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52F7BF71" w14:textId="77777777" w:rsidR="00D601E7" w:rsidRPr="00991668" w:rsidRDefault="00D601E7" w:rsidP="00475E8B">
            <w:pPr>
              <w:spacing w:before="120" w:line="312" w:lineRule="auto"/>
              <w:rPr>
                <w:rFonts w:eastAsia="Calibri"/>
                <w:highlight w:val="yellow"/>
                <w:u w:val="single"/>
                <w:lang w:eastAsia="fr-FR"/>
              </w:rPr>
            </w:pPr>
          </w:p>
          <w:p w14:paraId="057825AD"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748AE518"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BDE01F7" w14:textId="77777777" w:rsidR="00D601E7" w:rsidRPr="007038E4" w:rsidRDefault="00D601E7" w:rsidP="00475E8B">
            <w:pPr>
              <w:spacing w:before="120" w:line="312" w:lineRule="auto"/>
              <w:rPr>
                <w:rFonts w:eastAsia="Calibri"/>
                <w:u w:val="single"/>
                <w:lang w:eastAsia="fr-FR"/>
              </w:rPr>
            </w:pPr>
            <w:r w:rsidRPr="00991668">
              <w:rPr>
                <w:rFonts w:eastAsia="Calibri"/>
                <w:u w:val="single"/>
                <w:lang w:eastAsia="fr-FR"/>
              </w:rPr>
              <w:t>Evaluation</w:t>
            </w:r>
            <w:r w:rsidRPr="007038E4">
              <w:rPr>
                <w:rFonts w:eastAsia="Calibri"/>
                <w:u w:val="single"/>
                <w:lang w:eastAsia="fr-FR"/>
              </w:rPr>
              <w:t xml:space="preserve"> des domaines de risque</w:t>
            </w:r>
          </w:p>
          <w:p w14:paraId="1EFE3660"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978CBF5" w14:textId="77777777" w:rsidR="00D601E7" w:rsidRPr="00991668" w:rsidRDefault="00D601E7" w:rsidP="00475E8B">
            <w:pPr>
              <w:spacing w:before="120" w:line="312" w:lineRule="auto"/>
              <w:rPr>
                <w:rFonts w:eastAsia="Calibri"/>
                <w:highlight w:val="yellow"/>
                <w:u w:val="single"/>
                <w:lang w:eastAsia="fr-FR"/>
              </w:rPr>
            </w:pPr>
          </w:p>
          <w:p w14:paraId="4A3529A1"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2714D5C5"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0F83C13C"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Revue analytique préliminaire</w:t>
            </w:r>
          </w:p>
          <w:p w14:paraId="4C98C37C"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B9037BA" w14:textId="77777777" w:rsidR="00D601E7" w:rsidRPr="00991668" w:rsidRDefault="00D601E7" w:rsidP="00475E8B">
            <w:pPr>
              <w:spacing w:before="120" w:line="312" w:lineRule="auto"/>
              <w:rPr>
                <w:rFonts w:eastAsia="Calibri"/>
                <w:highlight w:val="yellow"/>
                <w:u w:val="single"/>
                <w:lang w:eastAsia="fr-FR"/>
              </w:rPr>
            </w:pPr>
          </w:p>
          <w:p w14:paraId="06B69F95"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04444B90"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559BAB5"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Evaluation de la fraude et des erreurs</w:t>
            </w:r>
          </w:p>
          <w:p w14:paraId="3E5CB148"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0509F6D8" w14:textId="77777777" w:rsidR="00D601E7" w:rsidRPr="00991668" w:rsidRDefault="00D601E7" w:rsidP="00475E8B">
            <w:pPr>
              <w:spacing w:before="120" w:line="312" w:lineRule="auto"/>
              <w:rPr>
                <w:rFonts w:eastAsia="Calibri"/>
                <w:highlight w:val="yellow"/>
                <w:u w:val="single"/>
                <w:lang w:eastAsia="fr-FR"/>
              </w:rPr>
            </w:pPr>
          </w:p>
          <w:p w14:paraId="6A4F6E38"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0A665368"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B139865"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Appréciation préliminaire de la continuité</w:t>
            </w:r>
          </w:p>
          <w:p w14:paraId="49CA46AA"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7005B7C7" w14:textId="77777777" w:rsidR="00D601E7" w:rsidRPr="00991668" w:rsidRDefault="00D601E7" w:rsidP="00475E8B">
            <w:pPr>
              <w:spacing w:before="120" w:line="312" w:lineRule="auto"/>
              <w:rPr>
                <w:rFonts w:eastAsia="Calibri"/>
                <w:highlight w:val="yellow"/>
                <w:u w:val="single"/>
                <w:lang w:eastAsia="fr-FR"/>
              </w:rPr>
            </w:pPr>
          </w:p>
          <w:p w14:paraId="26684D33"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7E080BEF"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129A60E6"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Réunion avec le client</w:t>
            </w:r>
          </w:p>
          <w:p w14:paraId="47842029"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2D29F1C" w14:textId="77777777" w:rsidR="00D601E7" w:rsidRPr="00991668" w:rsidRDefault="00D601E7" w:rsidP="00475E8B">
            <w:pPr>
              <w:spacing w:before="120" w:line="312" w:lineRule="auto"/>
              <w:rPr>
                <w:rFonts w:eastAsia="Calibri"/>
                <w:highlight w:val="yellow"/>
                <w:u w:val="single"/>
                <w:lang w:eastAsia="fr-FR"/>
              </w:rPr>
            </w:pPr>
          </w:p>
          <w:p w14:paraId="552EC352"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78CDE7A5"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15BEC64A"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Instructions aux collaborateurs</w:t>
            </w:r>
          </w:p>
          <w:p w14:paraId="52C9BF1A"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20B52775" w14:textId="77777777" w:rsidR="00D601E7" w:rsidRPr="00991668" w:rsidRDefault="00D601E7" w:rsidP="00475E8B">
            <w:pPr>
              <w:spacing w:before="120" w:line="312" w:lineRule="auto"/>
              <w:rPr>
                <w:rFonts w:eastAsia="Calibri"/>
                <w:highlight w:val="yellow"/>
                <w:u w:val="single"/>
                <w:lang w:eastAsia="fr-FR"/>
              </w:rPr>
            </w:pPr>
          </w:p>
          <w:p w14:paraId="60B77344"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0266704C"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0E3C8D05"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lastRenderedPageBreak/>
              <w:t>Autres éléments de planification</w:t>
            </w:r>
          </w:p>
          <w:p w14:paraId="43FAB7D5"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046B3701" w14:textId="77777777" w:rsidR="00D601E7" w:rsidRPr="00991668" w:rsidRDefault="00D601E7" w:rsidP="00475E8B">
            <w:pPr>
              <w:spacing w:before="120" w:line="312" w:lineRule="auto"/>
              <w:rPr>
                <w:rFonts w:eastAsia="Calibri"/>
                <w:highlight w:val="yellow"/>
                <w:u w:val="single"/>
                <w:lang w:eastAsia="fr-FR"/>
              </w:rPr>
            </w:pPr>
          </w:p>
          <w:p w14:paraId="2029E5ED"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bl>
    <w:p w14:paraId="2EEEB3C1" w14:textId="77777777" w:rsidR="00D601E7" w:rsidRPr="00991668" w:rsidRDefault="00D601E7" w:rsidP="00D601E7">
      <w:pPr>
        <w:rPr>
          <w:lang w:eastAsia="fr-FR"/>
        </w:rPr>
      </w:pPr>
    </w:p>
    <w:p w14:paraId="1672CA09" w14:textId="77777777" w:rsidR="00D601E7" w:rsidRPr="00991668" w:rsidRDefault="00D601E7" w:rsidP="00D601E7">
      <w:pPr>
        <w:rPr>
          <w:b/>
          <w:i/>
          <w:sz w:val="22"/>
          <w:szCs w:val="22"/>
          <w:lang w:eastAsia="nl-NL"/>
        </w:rPr>
      </w:pPr>
      <w:r w:rsidRPr="00991668">
        <w:rPr>
          <w:b/>
          <w:i/>
          <w:sz w:val="22"/>
          <w:szCs w:val="22"/>
          <w:lang w:eastAsia="nl-NL"/>
        </w:rPr>
        <w:t>Accomplissement et audit</w:t>
      </w:r>
    </w:p>
    <w:tbl>
      <w:tblPr>
        <w:tblW w:w="0" w:type="auto"/>
        <w:tblLook w:val="01E0" w:firstRow="1" w:lastRow="1" w:firstColumn="1" w:lastColumn="1" w:noHBand="0" w:noVBand="0"/>
      </w:tblPr>
      <w:tblGrid>
        <w:gridCol w:w="4265"/>
        <w:gridCol w:w="4266"/>
      </w:tblGrid>
      <w:tr w:rsidR="00D601E7" w:rsidRPr="007038E4" w14:paraId="1176A0E5" w14:textId="77777777" w:rsidTr="00475E8B">
        <w:tc>
          <w:tcPr>
            <w:tcW w:w="4265" w:type="dxa"/>
            <w:tcBorders>
              <w:top w:val="single" w:sz="4" w:space="0" w:color="auto"/>
              <w:left w:val="single" w:sz="4" w:space="0" w:color="auto"/>
              <w:bottom w:val="single" w:sz="4" w:space="0" w:color="auto"/>
              <w:right w:val="single" w:sz="4" w:space="0" w:color="auto"/>
            </w:tcBorders>
          </w:tcPr>
          <w:p w14:paraId="4CBD7A5C" w14:textId="77777777" w:rsidR="00D601E7" w:rsidRPr="00991668" w:rsidRDefault="00D601E7" w:rsidP="00475E8B">
            <w:pPr>
              <w:spacing w:before="120" w:line="312" w:lineRule="auto"/>
              <w:jc w:val="center"/>
              <w:rPr>
                <w:rFonts w:eastAsia="Calibri"/>
                <w:b/>
                <w:lang w:eastAsia="fr-FR"/>
              </w:rPr>
            </w:pPr>
            <w:r w:rsidRPr="00991668">
              <w:rPr>
                <w:rFonts w:eastAsia="Calibri"/>
                <w:b/>
                <w:lang w:eastAsia="fr-FR"/>
              </w:rPr>
              <w:t>Points d’attention</w:t>
            </w:r>
          </w:p>
        </w:tc>
        <w:tc>
          <w:tcPr>
            <w:tcW w:w="4266" w:type="dxa"/>
            <w:tcBorders>
              <w:top w:val="single" w:sz="4" w:space="0" w:color="auto"/>
              <w:left w:val="single" w:sz="4" w:space="0" w:color="auto"/>
              <w:bottom w:val="single" w:sz="4" w:space="0" w:color="auto"/>
              <w:right w:val="single" w:sz="4" w:space="0" w:color="auto"/>
            </w:tcBorders>
          </w:tcPr>
          <w:p w14:paraId="1C0BF304" w14:textId="77777777" w:rsidR="00D601E7" w:rsidRPr="00991668" w:rsidRDefault="00D601E7" w:rsidP="00475E8B">
            <w:pPr>
              <w:spacing w:before="120" w:line="312" w:lineRule="auto"/>
              <w:jc w:val="center"/>
              <w:rPr>
                <w:rFonts w:eastAsia="Calibri"/>
                <w:lang w:eastAsia="fr-FR"/>
              </w:rPr>
            </w:pPr>
            <w:r w:rsidRPr="00991668">
              <w:rPr>
                <w:rFonts w:eastAsia="Calibri"/>
                <w:b/>
                <w:lang w:eastAsia="fr-FR"/>
              </w:rPr>
              <w:t>Actions prises</w:t>
            </w:r>
          </w:p>
        </w:tc>
      </w:tr>
      <w:tr w:rsidR="00D601E7" w:rsidRPr="007038E4" w14:paraId="03A4E729"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0F072CC3"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Procédures d’audit appropriées</w:t>
            </w:r>
          </w:p>
          <w:p w14:paraId="214CF7D4"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3"/>
                  <w:enabled/>
                  <w:calcOnExit w:val="0"/>
                  <w:textInput/>
                </w:ffData>
              </w:fldChar>
            </w:r>
            <w:bookmarkStart w:id="20" w:name="Text53"/>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sidRPr="00991668">
              <w:rPr>
                <w:rFonts w:eastAsia="Calibri"/>
                <w:highlight w:val="yellow"/>
                <w:lang w:val="fr-BE" w:eastAsia="fr-FR"/>
              </w:rPr>
              <w:fldChar w:fldCharType="end"/>
            </w:r>
            <w:bookmarkEnd w:id="20"/>
          </w:p>
        </w:tc>
        <w:tc>
          <w:tcPr>
            <w:tcW w:w="4266" w:type="dxa"/>
          </w:tcPr>
          <w:p w14:paraId="20CC4254" w14:textId="77777777" w:rsidR="00D601E7" w:rsidRPr="00991668" w:rsidRDefault="00D601E7" w:rsidP="00475E8B">
            <w:pPr>
              <w:spacing w:before="120" w:line="312" w:lineRule="auto"/>
              <w:rPr>
                <w:rFonts w:eastAsia="Calibri"/>
                <w:highlight w:val="yellow"/>
                <w:u w:val="single"/>
                <w:lang w:eastAsia="fr-FR"/>
              </w:rPr>
            </w:pPr>
          </w:p>
          <w:p w14:paraId="571960D6" w14:textId="77777777" w:rsidR="00D601E7" w:rsidRPr="007038E4" w:rsidRDefault="00D601E7" w:rsidP="00475E8B">
            <w:pPr>
              <w:rPr>
                <w:rFonts w:eastAsia="Calibri"/>
                <w:highlight w:val="yellow"/>
                <w:lang w:eastAsia="fr-FR"/>
              </w:rPr>
            </w:pPr>
            <w:r w:rsidRPr="007038E4">
              <w:rPr>
                <w:rFonts w:eastAsia="Calibri"/>
                <w:highlight w:val="yellow"/>
                <w:lang w:eastAsia="fr-FR"/>
              </w:rPr>
              <w:fldChar w:fldCharType="begin">
                <w:ffData>
                  <w:name w:val="Text61"/>
                  <w:enabled/>
                  <w:calcOnExit w:val="0"/>
                  <w:textInput/>
                </w:ffData>
              </w:fldChar>
            </w:r>
            <w:bookmarkStart w:id="21" w:name="Text61"/>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sidRPr="007038E4">
              <w:rPr>
                <w:rFonts w:eastAsia="Calibri"/>
                <w:highlight w:val="yellow"/>
                <w:lang w:eastAsia="fr-FR"/>
              </w:rPr>
              <w:fldChar w:fldCharType="end"/>
            </w:r>
            <w:bookmarkEnd w:id="21"/>
          </w:p>
        </w:tc>
      </w:tr>
      <w:tr w:rsidR="00D601E7" w:rsidRPr="007038E4" w14:paraId="09B40785"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844B535"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Revue analytique finale</w:t>
            </w:r>
          </w:p>
          <w:p w14:paraId="2EE89DA1"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4"/>
                  <w:enabled/>
                  <w:calcOnExit w:val="0"/>
                  <w:textInput/>
                </w:ffData>
              </w:fldChar>
            </w:r>
            <w:bookmarkStart w:id="22" w:name="Text54"/>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sidRPr="00991668">
              <w:rPr>
                <w:rFonts w:eastAsia="Calibri"/>
                <w:highlight w:val="yellow"/>
                <w:lang w:val="fr-BE" w:eastAsia="fr-FR"/>
              </w:rPr>
              <w:fldChar w:fldCharType="end"/>
            </w:r>
            <w:bookmarkEnd w:id="22"/>
          </w:p>
        </w:tc>
        <w:tc>
          <w:tcPr>
            <w:tcW w:w="4266" w:type="dxa"/>
          </w:tcPr>
          <w:p w14:paraId="2CF3E821" w14:textId="77777777" w:rsidR="00D601E7" w:rsidRPr="00991668" w:rsidRDefault="00D601E7" w:rsidP="00475E8B">
            <w:pPr>
              <w:spacing w:before="120" w:line="312" w:lineRule="auto"/>
              <w:rPr>
                <w:rFonts w:eastAsia="Calibri"/>
                <w:highlight w:val="yellow"/>
                <w:u w:val="single"/>
                <w:lang w:eastAsia="fr-FR"/>
              </w:rPr>
            </w:pPr>
          </w:p>
          <w:p w14:paraId="241D0E23" w14:textId="77777777" w:rsidR="00D601E7" w:rsidRPr="007038E4" w:rsidRDefault="00D601E7" w:rsidP="00475E8B">
            <w:pPr>
              <w:rPr>
                <w:rFonts w:eastAsia="Calibri"/>
                <w:highlight w:val="yellow"/>
                <w:lang w:eastAsia="fr-FR"/>
              </w:rPr>
            </w:pPr>
            <w:r w:rsidRPr="007038E4">
              <w:rPr>
                <w:rFonts w:eastAsia="Calibri"/>
                <w:highlight w:val="yellow"/>
                <w:lang w:eastAsia="fr-FR"/>
              </w:rPr>
              <w:fldChar w:fldCharType="begin">
                <w:ffData>
                  <w:name w:val="Text62"/>
                  <w:enabled/>
                  <w:calcOnExit w:val="0"/>
                  <w:textInput/>
                </w:ffData>
              </w:fldChar>
            </w:r>
            <w:bookmarkStart w:id="23" w:name="Text62"/>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sidRPr="007038E4">
              <w:rPr>
                <w:rFonts w:eastAsia="Calibri"/>
                <w:highlight w:val="yellow"/>
                <w:lang w:eastAsia="fr-FR"/>
              </w:rPr>
              <w:fldChar w:fldCharType="end"/>
            </w:r>
            <w:bookmarkEnd w:id="23"/>
          </w:p>
        </w:tc>
      </w:tr>
      <w:tr w:rsidR="00D601E7" w:rsidRPr="007038E4" w14:paraId="05C12C37"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A9132A3"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Revue des annexes</w:t>
            </w:r>
          </w:p>
          <w:p w14:paraId="0F506F55"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5"/>
                  <w:enabled/>
                  <w:calcOnExit w:val="0"/>
                  <w:textInput/>
                </w:ffData>
              </w:fldChar>
            </w:r>
            <w:bookmarkStart w:id="24" w:name="Text55"/>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sidRPr="00991668">
              <w:rPr>
                <w:rFonts w:eastAsia="Calibri"/>
                <w:highlight w:val="yellow"/>
                <w:lang w:val="fr-BE" w:eastAsia="fr-FR"/>
              </w:rPr>
              <w:fldChar w:fldCharType="end"/>
            </w:r>
            <w:bookmarkEnd w:id="24"/>
          </w:p>
        </w:tc>
        <w:tc>
          <w:tcPr>
            <w:tcW w:w="4266" w:type="dxa"/>
          </w:tcPr>
          <w:p w14:paraId="1BCBDABC" w14:textId="77777777" w:rsidR="00D601E7" w:rsidRPr="00991668" w:rsidRDefault="00D601E7" w:rsidP="00475E8B">
            <w:pPr>
              <w:spacing w:before="120" w:line="312" w:lineRule="auto"/>
              <w:rPr>
                <w:rFonts w:eastAsia="Calibri"/>
                <w:highlight w:val="yellow"/>
                <w:u w:val="single"/>
                <w:lang w:eastAsia="fr-FR"/>
              </w:rPr>
            </w:pPr>
          </w:p>
          <w:p w14:paraId="76932361" w14:textId="77777777" w:rsidR="00D601E7" w:rsidRPr="007038E4" w:rsidRDefault="00D601E7" w:rsidP="00475E8B">
            <w:pPr>
              <w:rPr>
                <w:rFonts w:eastAsia="Calibri"/>
                <w:highlight w:val="yellow"/>
                <w:lang w:eastAsia="fr-FR"/>
              </w:rPr>
            </w:pPr>
            <w:r w:rsidRPr="007038E4">
              <w:rPr>
                <w:rFonts w:eastAsia="Calibri"/>
                <w:highlight w:val="yellow"/>
                <w:lang w:eastAsia="fr-FR"/>
              </w:rPr>
              <w:fldChar w:fldCharType="begin">
                <w:ffData>
                  <w:name w:val="Text63"/>
                  <w:enabled/>
                  <w:calcOnExit w:val="0"/>
                  <w:textInput/>
                </w:ffData>
              </w:fldChar>
            </w:r>
            <w:bookmarkStart w:id="25" w:name="Text63"/>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sidRPr="007038E4">
              <w:rPr>
                <w:rFonts w:eastAsia="Calibri"/>
                <w:highlight w:val="yellow"/>
                <w:lang w:eastAsia="fr-FR"/>
              </w:rPr>
              <w:fldChar w:fldCharType="end"/>
            </w:r>
            <w:bookmarkEnd w:id="25"/>
          </w:p>
        </w:tc>
      </w:tr>
      <w:tr w:rsidR="00D601E7" w:rsidRPr="007038E4" w14:paraId="452BF740"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EC9E3B7"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Evénements</w:t>
            </w:r>
            <w:r w:rsidRPr="00991668">
              <w:rPr>
                <w:rFonts w:eastAsia="Calibri"/>
                <w:bCs/>
                <w:u w:val="single"/>
                <w:lang w:eastAsia="fr-FR"/>
              </w:rPr>
              <w:t xml:space="preserve"> post clôture</w:t>
            </w:r>
          </w:p>
          <w:p w14:paraId="0231C3FE"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6"/>
                  <w:enabled/>
                  <w:calcOnExit w:val="0"/>
                  <w:textInput/>
                </w:ffData>
              </w:fldChar>
            </w:r>
            <w:bookmarkStart w:id="26" w:name="Text56"/>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sidRPr="00991668">
              <w:rPr>
                <w:rFonts w:eastAsia="Calibri"/>
                <w:highlight w:val="yellow"/>
                <w:lang w:val="fr-BE" w:eastAsia="fr-FR"/>
              </w:rPr>
              <w:fldChar w:fldCharType="end"/>
            </w:r>
            <w:bookmarkEnd w:id="26"/>
          </w:p>
        </w:tc>
        <w:tc>
          <w:tcPr>
            <w:tcW w:w="4266" w:type="dxa"/>
          </w:tcPr>
          <w:p w14:paraId="4A3898F3" w14:textId="77777777" w:rsidR="00D601E7" w:rsidRPr="00991668" w:rsidRDefault="00D601E7" w:rsidP="00475E8B">
            <w:pPr>
              <w:spacing w:before="120" w:line="312" w:lineRule="auto"/>
              <w:rPr>
                <w:rFonts w:eastAsia="Calibri"/>
                <w:highlight w:val="yellow"/>
                <w:u w:val="single"/>
                <w:lang w:eastAsia="fr-FR"/>
              </w:rPr>
            </w:pPr>
          </w:p>
          <w:p w14:paraId="78508C86" w14:textId="77777777" w:rsidR="00D601E7" w:rsidRPr="007038E4" w:rsidRDefault="00D601E7" w:rsidP="00475E8B">
            <w:pPr>
              <w:rPr>
                <w:rFonts w:eastAsia="Calibri"/>
                <w:highlight w:val="yellow"/>
                <w:lang w:eastAsia="fr-FR"/>
              </w:rPr>
            </w:pPr>
            <w:r w:rsidRPr="007038E4">
              <w:rPr>
                <w:rFonts w:eastAsia="Calibri"/>
                <w:highlight w:val="yellow"/>
                <w:lang w:eastAsia="fr-FR"/>
              </w:rPr>
              <w:fldChar w:fldCharType="begin">
                <w:ffData>
                  <w:name w:val="Text64"/>
                  <w:enabled/>
                  <w:calcOnExit w:val="0"/>
                  <w:textInput/>
                </w:ffData>
              </w:fldChar>
            </w:r>
            <w:bookmarkStart w:id="27" w:name="Text64"/>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sidRPr="007038E4">
              <w:rPr>
                <w:rFonts w:eastAsia="Calibri"/>
                <w:highlight w:val="yellow"/>
                <w:lang w:eastAsia="fr-FR"/>
              </w:rPr>
              <w:fldChar w:fldCharType="end"/>
            </w:r>
            <w:bookmarkEnd w:id="27"/>
          </w:p>
        </w:tc>
      </w:tr>
      <w:tr w:rsidR="00D601E7" w:rsidRPr="007038E4" w14:paraId="51802547"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2B934C8"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t>Appréciation</w:t>
            </w:r>
            <w:r w:rsidRPr="00991668">
              <w:rPr>
                <w:rFonts w:eastAsia="Calibri"/>
                <w:u w:val="single"/>
                <w:lang w:eastAsia="fr-FR"/>
              </w:rPr>
              <w:t xml:space="preserve"> finale de la continuité</w:t>
            </w:r>
          </w:p>
          <w:p w14:paraId="562AB106"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7"/>
                  <w:enabled/>
                  <w:calcOnExit w:val="0"/>
                  <w:textInput/>
                </w:ffData>
              </w:fldChar>
            </w:r>
            <w:bookmarkStart w:id="28" w:name="Text57"/>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sidRPr="00991668">
              <w:rPr>
                <w:rFonts w:eastAsia="Calibri"/>
                <w:highlight w:val="yellow"/>
                <w:lang w:val="fr-BE" w:eastAsia="fr-FR"/>
              </w:rPr>
              <w:fldChar w:fldCharType="end"/>
            </w:r>
            <w:bookmarkEnd w:id="28"/>
          </w:p>
        </w:tc>
        <w:tc>
          <w:tcPr>
            <w:tcW w:w="4266" w:type="dxa"/>
          </w:tcPr>
          <w:p w14:paraId="3ED62140" w14:textId="77777777" w:rsidR="00D601E7" w:rsidRPr="00991668" w:rsidRDefault="00D601E7" w:rsidP="00475E8B">
            <w:pPr>
              <w:spacing w:before="120" w:line="312" w:lineRule="auto"/>
              <w:rPr>
                <w:rFonts w:eastAsia="Calibri"/>
                <w:highlight w:val="yellow"/>
                <w:u w:val="single"/>
                <w:lang w:eastAsia="fr-FR"/>
              </w:rPr>
            </w:pPr>
          </w:p>
          <w:p w14:paraId="37C66792" w14:textId="77777777" w:rsidR="00D601E7" w:rsidRPr="007038E4" w:rsidRDefault="00D601E7" w:rsidP="00475E8B">
            <w:pPr>
              <w:rPr>
                <w:rFonts w:eastAsia="Calibri"/>
                <w:highlight w:val="yellow"/>
                <w:lang w:eastAsia="fr-FR"/>
              </w:rPr>
            </w:pPr>
            <w:r w:rsidRPr="007038E4">
              <w:rPr>
                <w:rFonts w:eastAsia="Calibri"/>
                <w:highlight w:val="yellow"/>
                <w:lang w:eastAsia="fr-FR"/>
              </w:rPr>
              <w:fldChar w:fldCharType="begin">
                <w:ffData>
                  <w:name w:val="Text65"/>
                  <w:enabled/>
                  <w:calcOnExit w:val="0"/>
                  <w:textInput/>
                </w:ffData>
              </w:fldChar>
            </w:r>
            <w:bookmarkStart w:id="29" w:name="Text65"/>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sidRPr="007038E4">
              <w:rPr>
                <w:rFonts w:eastAsia="Calibri"/>
                <w:highlight w:val="yellow"/>
                <w:lang w:eastAsia="fr-FR"/>
              </w:rPr>
              <w:fldChar w:fldCharType="end"/>
            </w:r>
            <w:bookmarkEnd w:id="29"/>
          </w:p>
        </w:tc>
      </w:tr>
      <w:tr w:rsidR="00D601E7" w:rsidRPr="007038E4" w14:paraId="098C2B0F"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C22FB72"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 xml:space="preserve">Lettre </w:t>
            </w:r>
            <w:r w:rsidRPr="00991668">
              <w:rPr>
                <w:rFonts w:eastAsia="Calibri"/>
                <w:bCs/>
                <w:u w:val="single"/>
                <w:lang w:eastAsia="fr-FR"/>
              </w:rPr>
              <w:t>d’affirmation</w:t>
            </w:r>
          </w:p>
          <w:p w14:paraId="25151869"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8"/>
                  <w:enabled/>
                  <w:calcOnExit w:val="0"/>
                  <w:textInput/>
                </w:ffData>
              </w:fldChar>
            </w:r>
            <w:bookmarkStart w:id="30" w:name="Text58"/>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sidRPr="00991668">
              <w:rPr>
                <w:rFonts w:eastAsia="Calibri"/>
                <w:highlight w:val="yellow"/>
                <w:lang w:val="fr-BE" w:eastAsia="fr-FR"/>
              </w:rPr>
              <w:fldChar w:fldCharType="end"/>
            </w:r>
            <w:bookmarkEnd w:id="30"/>
          </w:p>
        </w:tc>
        <w:tc>
          <w:tcPr>
            <w:tcW w:w="4266" w:type="dxa"/>
          </w:tcPr>
          <w:p w14:paraId="35563F60" w14:textId="77777777" w:rsidR="00D601E7" w:rsidRPr="00991668" w:rsidRDefault="00D601E7" w:rsidP="00475E8B">
            <w:pPr>
              <w:spacing w:before="120" w:line="312" w:lineRule="auto"/>
              <w:rPr>
                <w:rFonts w:eastAsia="Calibri"/>
                <w:highlight w:val="yellow"/>
                <w:u w:val="single"/>
                <w:lang w:eastAsia="fr-FR"/>
              </w:rPr>
            </w:pPr>
          </w:p>
          <w:p w14:paraId="48CA0770" w14:textId="77777777" w:rsidR="00D601E7" w:rsidRPr="007038E4" w:rsidRDefault="00D601E7" w:rsidP="00475E8B">
            <w:pPr>
              <w:rPr>
                <w:rFonts w:eastAsia="Calibri"/>
                <w:highlight w:val="yellow"/>
                <w:lang w:eastAsia="fr-FR"/>
              </w:rPr>
            </w:pPr>
            <w:r w:rsidRPr="007038E4">
              <w:rPr>
                <w:rFonts w:eastAsia="Calibri"/>
                <w:highlight w:val="yellow"/>
                <w:lang w:eastAsia="fr-FR"/>
              </w:rPr>
              <w:fldChar w:fldCharType="begin">
                <w:ffData>
                  <w:name w:val="Text66"/>
                  <w:enabled/>
                  <w:calcOnExit w:val="0"/>
                  <w:textInput/>
                </w:ffData>
              </w:fldChar>
            </w:r>
            <w:bookmarkStart w:id="31" w:name="Text66"/>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sidRPr="007038E4">
              <w:rPr>
                <w:rFonts w:eastAsia="Calibri"/>
                <w:highlight w:val="yellow"/>
                <w:lang w:eastAsia="fr-FR"/>
              </w:rPr>
              <w:fldChar w:fldCharType="end"/>
            </w:r>
            <w:bookmarkEnd w:id="31"/>
          </w:p>
        </w:tc>
      </w:tr>
      <w:tr w:rsidR="00D601E7" w:rsidRPr="007038E4" w14:paraId="09249F3A"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15C89FB"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Erreurs non corrigées</w:t>
            </w:r>
          </w:p>
          <w:p w14:paraId="3626507B"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59"/>
                  <w:enabled/>
                  <w:calcOnExit w:val="0"/>
                  <w:textInput/>
                </w:ffData>
              </w:fldChar>
            </w:r>
            <w:bookmarkStart w:id="32" w:name="Text59"/>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sidRPr="00991668">
              <w:rPr>
                <w:rFonts w:eastAsia="Calibri"/>
                <w:highlight w:val="yellow"/>
                <w:lang w:val="fr-BE" w:eastAsia="fr-FR"/>
              </w:rPr>
              <w:fldChar w:fldCharType="end"/>
            </w:r>
            <w:bookmarkEnd w:id="32"/>
          </w:p>
        </w:tc>
        <w:tc>
          <w:tcPr>
            <w:tcW w:w="4266" w:type="dxa"/>
          </w:tcPr>
          <w:p w14:paraId="76EA408B" w14:textId="77777777" w:rsidR="00D601E7" w:rsidRPr="00991668" w:rsidRDefault="00D601E7" w:rsidP="00475E8B">
            <w:pPr>
              <w:spacing w:before="120" w:line="312" w:lineRule="auto"/>
              <w:rPr>
                <w:rFonts w:eastAsia="Calibri"/>
                <w:highlight w:val="yellow"/>
                <w:u w:val="single"/>
                <w:lang w:eastAsia="fr-FR"/>
              </w:rPr>
            </w:pPr>
          </w:p>
          <w:p w14:paraId="13BB07BD" w14:textId="77777777" w:rsidR="00D601E7" w:rsidRPr="007038E4" w:rsidRDefault="00D601E7" w:rsidP="00475E8B">
            <w:pPr>
              <w:rPr>
                <w:rFonts w:eastAsia="Calibri"/>
                <w:highlight w:val="yellow"/>
                <w:lang w:eastAsia="fr-FR"/>
              </w:rPr>
            </w:pPr>
            <w:r w:rsidRPr="007038E4">
              <w:rPr>
                <w:rFonts w:eastAsia="Calibri"/>
                <w:highlight w:val="yellow"/>
                <w:lang w:eastAsia="fr-FR"/>
              </w:rPr>
              <w:fldChar w:fldCharType="begin">
                <w:ffData>
                  <w:name w:val="Text67"/>
                  <w:enabled/>
                  <w:calcOnExit w:val="0"/>
                  <w:textInput/>
                </w:ffData>
              </w:fldChar>
            </w:r>
            <w:bookmarkStart w:id="33" w:name="Text67"/>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sidRPr="007038E4">
              <w:rPr>
                <w:rFonts w:eastAsia="Calibri"/>
                <w:highlight w:val="yellow"/>
                <w:lang w:eastAsia="fr-FR"/>
              </w:rPr>
              <w:fldChar w:fldCharType="end"/>
            </w:r>
            <w:bookmarkEnd w:id="33"/>
          </w:p>
        </w:tc>
      </w:tr>
      <w:tr w:rsidR="00D601E7" w:rsidRPr="007038E4" w14:paraId="62AF28D1"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CFD2512"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 xml:space="preserve">Rapport du commissaire </w:t>
            </w:r>
          </w:p>
          <w:p w14:paraId="76841BCC"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fr-FR"/>
              </w:rPr>
              <w:fldChar w:fldCharType="begin">
                <w:ffData>
                  <w:name w:val="Text60"/>
                  <w:enabled/>
                  <w:calcOnExit w:val="0"/>
                  <w:textInput/>
                </w:ffData>
              </w:fldChar>
            </w:r>
            <w:bookmarkStart w:id="34" w:name="Text60"/>
            <w:r w:rsidRPr="00991668">
              <w:rPr>
                <w:rFonts w:eastAsia="Calibri"/>
                <w:highlight w:val="yellow"/>
                <w:lang w:val="fr-BE" w:eastAsia="fr-FR"/>
              </w:rPr>
              <w:instrText xml:space="preserve"> FORMTEXT </w:instrText>
            </w:r>
            <w:r w:rsidRPr="00991668">
              <w:rPr>
                <w:rFonts w:eastAsia="Calibri"/>
                <w:highlight w:val="yellow"/>
                <w:lang w:val="fr-BE" w:eastAsia="fr-FR"/>
              </w:rPr>
            </w:r>
            <w:r w:rsidRPr="00991668">
              <w:rPr>
                <w:rFonts w:eastAsia="Calibri"/>
                <w:highlight w:val="yellow"/>
                <w:lang w:val="fr-BE" w:eastAsia="fr-FR"/>
              </w:rPr>
              <w:fldChar w:fldCharType="separate"/>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Pr>
                <w:rFonts w:eastAsia="Calibri"/>
                <w:noProof/>
                <w:highlight w:val="yellow"/>
                <w:lang w:val="fr-BE" w:eastAsia="fr-FR"/>
              </w:rPr>
              <w:t> </w:t>
            </w:r>
            <w:r w:rsidRPr="00991668">
              <w:rPr>
                <w:rFonts w:eastAsia="Calibri"/>
                <w:highlight w:val="yellow"/>
                <w:lang w:val="fr-BE" w:eastAsia="fr-FR"/>
              </w:rPr>
              <w:fldChar w:fldCharType="end"/>
            </w:r>
            <w:bookmarkEnd w:id="34"/>
          </w:p>
        </w:tc>
        <w:tc>
          <w:tcPr>
            <w:tcW w:w="4266" w:type="dxa"/>
          </w:tcPr>
          <w:p w14:paraId="452B4F67" w14:textId="77777777" w:rsidR="00D601E7" w:rsidRPr="00991668" w:rsidRDefault="00D601E7" w:rsidP="00475E8B">
            <w:pPr>
              <w:spacing w:before="120" w:line="312" w:lineRule="auto"/>
              <w:rPr>
                <w:rFonts w:eastAsia="Calibri"/>
                <w:highlight w:val="yellow"/>
                <w:u w:val="single"/>
                <w:lang w:eastAsia="fr-FR"/>
              </w:rPr>
            </w:pPr>
          </w:p>
          <w:p w14:paraId="29920AA5" w14:textId="77777777" w:rsidR="00D601E7" w:rsidRPr="007038E4" w:rsidRDefault="00D601E7" w:rsidP="00475E8B">
            <w:pPr>
              <w:rPr>
                <w:rFonts w:eastAsia="Calibri"/>
                <w:highlight w:val="yellow"/>
                <w:lang w:eastAsia="fr-FR"/>
              </w:rPr>
            </w:pPr>
            <w:r w:rsidRPr="007038E4">
              <w:rPr>
                <w:rFonts w:eastAsia="Calibri"/>
                <w:highlight w:val="yellow"/>
                <w:lang w:eastAsia="fr-FR"/>
              </w:rPr>
              <w:fldChar w:fldCharType="begin">
                <w:ffData>
                  <w:name w:val="Text68"/>
                  <w:enabled/>
                  <w:calcOnExit w:val="0"/>
                  <w:textInput/>
                </w:ffData>
              </w:fldChar>
            </w:r>
            <w:bookmarkStart w:id="35" w:name="Text68"/>
            <w:r w:rsidRPr="007038E4">
              <w:rPr>
                <w:rFonts w:eastAsia="Calibri"/>
                <w:highlight w:val="yellow"/>
                <w:lang w:eastAsia="fr-FR"/>
              </w:rPr>
              <w:instrText xml:space="preserve"> FORMTEXT </w:instrText>
            </w:r>
            <w:r w:rsidRPr="007038E4">
              <w:rPr>
                <w:rFonts w:eastAsia="Calibri"/>
                <w:highlight w:val="yellow"/>
                <w:lang w:eastAsia="fr-FR"/>
              </w:rPr>
            </w:r>
            <w:r w:rsidRPr="007038E4">
              <w:rPr>
                <w:rFonts w:eastAsia="Calibri"/>
                <w:highlight w:val="yellow"/>
                <w:lang w:eastAsia="fr-FR"/>
              </w:rPr>
              <w:fldChar w:fldCharType="separate"/>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Pr>
                <w:rFonts w:eastAsia="Calibri"/>
                <w:noProof/>
                <w:highlight w:val="yellow"/>
                <w:lang w:eastAsia="fr-FR"/>
              </w:rPr>
              <w:t> </w:t>
            </w:r>
            <w:r w:rsidRPr="007038E4">
              <w:rPr>
                <w:rFonts w:eastAsia="Calibri"/>
                <w:highlight w:val="yellow"/>
                <w:lang w:eastAsia="fr-FR"/>
              </w:rPr>
              <w:fldChar w:fldCharType="end"/>
            </w:r>
            <w:bookmarkEnd w:id="35"/>
          </w:p>
        </w:tc>
      </w:tr>
    </w:tbl>
    <w:p w14:paraId="74BDC1B3" w14:textId="77777777" w:rsidR="00D601E7" w:rsidRPr="00991668" w:rsidRDefault="00D601E7" w:rsidP="00D601E7">
      <w:pPr>
        <w:rPr>
          <w:lang w:eastAsia="fr-FR"/>
        </w:rPr>
      </w:pPr>
    </w:p>
    <w:p w14:paraId="2EBCDFD2" w14:textId="77777777" w:rsidR="00D601E7" w:rsidRPr="00991668" w:rsidRDefault="00D601E7" w:rsidP="00D601E7">
      <w:pPr>
        <w:pStyle w:val="Kop3"/>
        <w:rPr>
          <w:lang w:eastAsia="fr-FR"/>
        </w:rPr>
      </w:pPr>
      <w:bookmarkStart w:id="36" w:name="_Toc391907430"/>
      <w:bookmarkStart w:id="37" w:name="_Toc392492495"/>
      <w:bookmarkStart w:id="38" w:name="_Toc396478597"/>
      <w:r w:rsidRPr="00991668">
        <w:t>Détail des travaux</w:t>
      </w:r>
      <w:bookmarkEnd w:id="36"/>
      <w:bookmarkEnd w:id="37"/>
      <w:bookmarkEnd w:id="38"/>
    </w:p>
    <w:tbl>
      <w:tblPr>
        <w:tblW w:w="0" w:type="auto"/>
        <w:tblLook w:val="01E0" w:firstRow="1" w:lastRow="1" w:firstColumn="1" w:lastColumn="1" w:noHBand="0" w:noVBand="0"/>
      </w:tblPr>
      <w:tblGrid>
        <w:gridCol w:w="4265"/>
        <w:gridCol w:w="4266"/>
      </w:tblGrid>
      <w:tr w:rsidR="00D601E7" w:rsidRPr="007038E4" w14:paraId="4DE46859" w14:textId="77777777" w:rsidTr="00475E8B">
        <w:tc>
          <w:tcPr>
            <w:tcW w:w="4265" w:type="dxa"/>
            <w:tcBorders>
              <w:top w:val="single" w:sz="4" w:space="0" w:color="auto"/>
              <w:left w:val="single" w:sz="4" w:space="0" w:color="auto"/>
              <w:bottom w:val="single" w:sz="4" w:space="0" w:color="auto"/>
              <w:right w:val="single" w:sz="4" w:space="0" w:color="auto"/>
            </w:tcBorders>
          </w:tcPr>
          <w:p w14:paraId="1EE3556E" w14:textId="77777777" w:rsidR="00D601E7" w:rsidRPr="00991668" w:rsidRDefault="00D601E7" w:rsidP="00475E8B">
            <w:pPr>
              <w:spacing w:before="120" w:line="312" w:lineRule="auto"/>
              <w:jc w:val="center"/>
              <w:rPr>
                <w:rFonts w:eastAsia="Calibri"/>
                <w:b/>
                <w:lang w:eastAsia="fr-FR"/>
              </w:rPr>
            </w:pPr>
            <w:r w:rsidRPr="00991668">
              <w:rPr>
                <w:rFonts w:eastAsia="Calibri"/>
                <w:b/>
                <w:lang w:eastAsia="fr-FR"/>
              </w:rPr>
              <w:t>Points d’attention</w:t>
            </w:r>
          </w:p>
        </w:tc>
        <w:tc>
          <w:tcPr>
            <w:tcW w:w="4266" w:type="dxa"/>
            <w:tcBorders>
              <w:top w:val="single" w:sz="4" w:space="0" w:color="auto"/>
              <w:left w:val="single" w:sz="4" w:space="0" w:color="auto"/>
              <w:bottom w:val="single" w:sz="4" w:space="0" w:color="auto"/>
              <w:right w:val="single" w:sz="4" w:space="0" w:color="auto"/>
            </w:tcBorders>
          </w:tcPr>
          <w:p w14:paraId="12512425" w14:textId="77777777" w:rsidR="00D601E7" w:rsidRPr="00991668" w:rsidRDefault="00D601E7" w:rsidP="00475E8B">
            <w:pPr>
              <w:spacing w:before="120" w:line="312" w:lineRule="auto"/>
              <w:jc w:val="center"/>
              <w:rPr>
                <w:rFonts w:eastAsia="Calibri"/>
                <w:lang w:eastAsia="fr-FR"/>
              </w:rPr>
            </w:pPr>
            <w:r w:rsidRPr="00991668">
              <w:rPr>
                <w:rFonts w:eastAsia="Calibri"/>
                <w:b/>
                <w:lang w:eastAsia="fr-FR"/>
              </w:rPr>
              <w:t>Actions prises</w:t>
            </w:r>
          </w:p>
        </w:tc>
      </w:tr>
      <w:tr w:rsidR="00D601E7" w:rsidRPr="007038E4" w14:paraId="0F9A0BCF"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E83EE0E"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Immobilisations incorporelles</w:t>
            </w:r>
          </w:p>
          <w:p w14:paraId="3650731E"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lastRenderedPageBreak/>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475D0C2E" w14:textId="77777777" w:rsidR="00D601E7" w:rsidRPr="00991668" w:rsidRDefault="00D601E7" w:rsidP="00475E8B">
            <w:pPr>
              <w:spacing w:before="120" w:line="312" w:lineRule="auto"/>
              <w:rPr>
                <w:rFonts w:eastAsia="Calibri"/>
                <w:highlight w:val="yellow"/>
                <w:u w:val="single"/>
                <w:lang w:eastAsia="fr-FR"/>
              </w:rPr>
            </w:pPr>
          </w:p>
          <w:p w14:paraId="57A92916"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lastRenderedPageBreak/>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0DE3CDFC"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23C3BD5F"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lastRenderedPageBreak/>
              <w:t>Immobilisations</w:t>
            </w:r>
            <w:r w:rsidRPr="00991668">
              <w:rPr>
                <w:rFonts w:eastAsia="Calibri"/>
                <w:u w:val="single"/>
                <w:lang w:eastAsia="fr-FR"/>
              </w:rPr>
              <w:t xml:space="preserve"> corporelles</w:t>
            </w:r>
          </w:p>
          <w:p w14:paraId="2744AFB1"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114EC66" w14:textId="77777777" w:rsidR="00D601E7" w:rsidRPr="00991668" w:rsidRDefault="00D601E7" w:rsidP="00475E8B">
            <w:pPr>
              <w:spacing w:before="120" w:line="312" w:lineRule="auto"/>
              <w:rPr>
                <w:rFonts w:eastAsia="Calibri"/>
                <w:highlight w:val="yellow"/>
                <w:u w:val="single"/>
                <w:lang w:eastAsia="fr-FR"/>
              </w:rPr>
            </w:pPr>
          </w:p>
          <w:p w14:paraId="6ABDC963"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1873F12C"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761E90D"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t>Immobilisations</w:t>
            </w:r>
            <w:r w:rsidRPr="00991668">
              <w:rPr>
                <w:rFonts w:eastAsia="Calibri"/>
                <w:u w:val="single"/>
                <w:lang w:eastAsia="fr-FR"/>
              </w:rPr>
              <w:t xml:space="preserve"> financières</w:t>
            </w:r>
          </w:p>
          <w:p w14:paraId="023693E2"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02D3F7D5" w14:textId="77777777" w:rsidR="00D601E7" w:rsidRPr="00991668" w:rsidRDefault="00D601E7" w:rsidP="00475E8B">
            <w:pPr>
              <w:spacing w:before="120" w:line="312" w:lineRule="auto"/>
              <w:rPr>
                <w:rFonts w:eastAsia="Calibri"/>
                <w:highlight w:val="yellow"/>
                <w:u w:val="single"/>
                <w:lang w:eastAsia="fr-FR"/>
              </w:rPr>
            </w:pPr>
          </w:p>
          <w:p w14:paraId="18D758BC"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2160C78D"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2F7DEC6"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t>Stocks</w:t>
            </w:r>
          </w:p>
          <w:p w14:paraId="6A2A25A4"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DF2F8CA" w14:textId="77777777" w:rsidR="00D601E7" w:rsidRPr="00991668" w:rsidRDefault="00D601E7" w:rsidP="00475E8B">
            <w:pPr>
              <w:spacing w:before="120" w:line="312" w:lineRule="auto"/>
              <w:rPr>
                <w:rFonts w:eastAsia="Calibri"/>
                <w:highlight w:val="yellow"/>
                <w:u w:val="single"/>
                <w:lang w:eastAsia="fr-FR"/>
              </w:rPr>
            </w:pPr>
          </w:p>
          <w:p w14:paraId="1D3F5306"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7059BC00"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18D432CF"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t>Créances</w:t>
            </w:r>
          </w:p>
          <w:p w14:paraId="1FADE6B9"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D791189" w14:textId="77777777" w:rsidR="00D601E7" w:rsidRPr="00991668" w:rsidRDefault="00D601E7" w:rsidP="00475E8B">
            <w:pPr>
              <w:spacing w:before="120" w:line="312" w:lineRule="auto"/>
              <w:rPr>
                <w:rFonts w:eastAsia="Calibri"/>
                <w:highlight w:val="yellow"/>
                <w:u w:val="single"/>
                <w:lang w:eastAsia="fr-FR"/>
              </w:rPr>
            </w:pPr>
          </w:p>
          <w:p w14:paraId="58A295CD"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4564A79F"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D8E46BC" w14:textId="77777777" w:rsidR="00D601E7" w:rsidRPr="007038E4" w:rsidRDefault="00D601E7" w:rsidP="00475E8B">
            <w:pPr>
              <w:spacing w:before="120" w:line="312" w:lineRule="auto"/>
              <w:rPr>
                <w:rFonts w:eastAsia="Calibri"/>
                <w:u w:val="single"/>
                <w:lang w:eastAsia="fr-FR"/>
              </w:rPr>
            </w:pPr>
            <w:r w:rsidRPr="00991668">
              <w:rPr>
                <w:rFonts w:eastAsia="Calibri"/>
                <w:bCs/>
                <w:u w:val="single"/>
                <w:lang w:eastAsia="fr-FR"/>
              </w:rPr>
              <w:t>Valeurs</w:t>
            </w:r>
            <w:r w:rsidRPr="007038E4">
              <w:rPr>
                <w:rFonts w:eastAsia="Calibri"/>
                <w:u w:val="single"/>
                <w:lang w:eastAsia="fr-FR"/>
              </w:rPr>
              <w:t xml:space="preserve"> disponibles</w:t>
            </w:r>
          </w:p>
          <w:p w14:paraId="163C6228"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258E536D" w14:textId="77777777" w:rsidR="00D601E7" w:rsidRPr="00991668" w:rsidRDefault="00D601E7" w:rsidP="00475E8B">
            <w:pPr>
              <w:spacing w:before="120" w:line="312" w:lineRule="auto"/>
              <w:rPr>
                <w:rFonts w:eastAsia="Calibri"/>
                <w:highlight w:val="yellow"/>
                <w:u w:val="single"/>
                <w:lang w:eastAsia="fr-FR"/>
              </w:rPr>
            </w:pPr>
          </w:p>
          <w:p w14:paraId="60234D98"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3220E6F5"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17F4BB7"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 xml:space="preserve">Comptes </w:t>
            </w:r>
            <w:r w:rsidRPr="00991668">
              <w:rPr>
                <w:rFonts w:eastAsia="Calibri"/>
                <w:bCs/>
                <w:u w:val="single"/>
                <w:lang w:eastAsia="fr-FR"/>
              </w:rPr>
              <w:t>de</w:t>
            </w:r>
            <w:r w:rsidRPr="00991668">
              <w:rPr>
                <w:rFonts w:eastAsia="Calibri"/>
                <w:u w:val="single"/>
                <w:lang w:eastAsia="fr-FR"/>
              </w:rPr>
              <w:t xml:space="preserve"> régularisation</w:t>
            </w:r>
          </w:p>
          <w:p w14:paraId="4B8873DC"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4CD1AA98" w14:textId="77777777" w:rsidR="00D601E7" w:rsidRPr="00991668" w:rsidRDefault="00D601E7" w:rsidP="00475E8B">
            <w:pPr>
              <w:spacing w:before="120" w:line="312" w:lineRule="auto"/>
              <w:rPr>
                <w:rFonts w:eastAsia="Calibri"/>
                <w:highlight w:val="yellow"/>
                <w:u w:val="single"/>
                <w:lang w:eastAsia="fr-FR"/>
              </w:rPr>
            </w:pPr>
          </w:p>
          <w:p w14:paraId="228A63BC"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3A58A61A"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3491FAB"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t>Capitaux</w:t>
            </w:r>
            <w:r w:rsidRPr="00991668">
              <w:rPr>
                <w:rFonts w:eastAsia="Calibri"/>
                <w:u w:val="single"/>
                <w:lang w:eastAsia="fr-FR"/>
              </w:rPr>
              <w:t xml:space="preserve"> propres</w:t>
            </w:r>
          </w:p>
          <w:p w14:paraId="1750B4B9"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0E31C945" w14:textId="77777777" w:rsidR="00D601E7" w:rsidRPr="00991668" w:rsidRDefault="00D601E7" w:rsidP="00475E8B">
            <w:pPr>
              <w:spacing w:before="120" w:line="312" w:lineRule="auto"/>
              <w:rPr>
                <w:rFonts w:eastAsia="Calibri"/>
                <w:highlight w:val="yellow"/>
                <w:u w:val="single"/>
                <w:lang w:eastAsia="fr-FR"/>
              </w:rPr>
            </w:pPr>
          </w:p>
          <w:p w14:paraId="2703080D"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3ADC6D60"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5E902F1"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t>Provisions</w:t>
            </w:r>
          </w:p>
          <w:p w14:paraId="0722CD0B"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5D20CB47" w14:textId="77777777" w:rsidR="00D601E7" w:rsidRPr="00991668" w:rsidRDefault="00D601E7" w:rsidP="00475E8B">
            <w:pPr>
              <w:spacing w:before="120" w:line="312" w:lineRule="auto"/>
              <w:rPr>
                <w:rFonts w:eastAsia="Calibri"/>
                <w:highlight w:val="yellow"/>
                <w:u w:val="single"/>
                <w:lang w:eastAsia="fr-FR"/>
              </w:rPr>
            </w:pPr>
          </w:p>
          <w:p w14:paraId="4E234A0B"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1633EFB7"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55CCC80"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t>Dettes</w:t>
            </w:r>
            <w:r w:rsidRPr="00991668">
              <w:rPr>
                <w:rFonts w:eastAsia="Calibri"/>
                <w:u w:val="single"/>
                <w:lang w:eastAsia="fr-FR"/>
              </w:rPr>
              <w:t xml:space="preserve"> à long terme</w:t>
            </w:r>
          </w:p>
          <w:p w14:paraId="441E0F0F"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50349401" w14:textId="77777777" w:rsidR="00D601E7" w:rsidRPr="00991668" w:rsidRDefault="00D601E7" w:rsidP="00475E8B">
            <w:pPr>
              <w:spacing w:before="120" w:line="312" w:lineRule="auto"/>
              <w:rPr>
                <w:rFonts w:eastAsia="Calibri"/>
                <w:highlight w:val="yellow"/>
                <w:u w:val="single"/>
                <w:lang w:eastAsia="fr-FR"/>
              </w:rPr>
            </w:pPr>
          </w:p>
          <w:p w14:paraId="0C1ED73D"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57D9188E"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1800DEE" w14:textId="77777777" w:rsidR="00D601E7" w:rsidRPr="00991668" w:rsidRDefault="00D601E7" w:rsidP="00475E8B">
            <w:pPr>
              <w:spacing w:before="120" w:line="312" w:lineRule="auto"/>
              <w:rPr>
                <w:rFonts w:eastAsia="Calibri"/>
                <w:u w:val="single"/>
                <w:lang w:eastAsia="fr-FR"/>
              </w:rPr>
            </w:pPr>
            <w:r w:rsidRPr="00991668">
              <w:rPr>
                <w:rFonts w:eastAsia="Calibri"/>
                <w:u w:val="single"/>
                <w:lang w:eastAsia="fr-FR"/>
              </w:rPr>
              <w:t>Dettes à court terme</w:t>
            </w:r>
          </w:p>
          <w:p w14:paraId="08A3441F"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7A7918DF" w14:textId="77777777" w:rsidR="00D601E7" w:rsidRPr="00991668" w:rsidRDefault="00D601E7" w:rsidP="00475E8B">
            <w:pPr>
              <w:spacing w:before="120" w:line="312" w:lineRule="auto"/>
              <w:rPr>
                <w:rFonts w:eastAsia="Calibri"/>
                <w:highlight w:val="yellow"/>
                <w:u w:val="single"/>
                <w:lang w:eastAsia="fr-FR"/>
              </w:rPr>
            </w:pPr>
          </w:p>
          <w:p w14:paraId="12BC2B62"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6437F973"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E8FE424"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t>Comptes</w:t>
            </w:r>
            <w:r w:rsidRPr="00991668">
              <w:rPr>
                <w:rFonts w:eastAsia="Calibri"/>
                <w:u w:val="single"/>
                <w:lang w:eastAsia="fr-FR"/>
              </w:rPr>
              <w:t xml:space="preserve"> de régularisation</w:t>
            </w:r>
          </w:p>
          <w:p w14:paraId="313009C7"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AF3E2D3" w14:textId="77777777" w:rsidR="00D601E7" w:rsidRPr="00991668" w:rsidRDefault="00D601E7" w:rsidP="00475E8B">
            <w:pPr>
              <w:spacing w:before="120" w:line="312" w:lineRule="auto"/>
              <w:rPr>
                <w:rFonts w:eastAsia="Calibri"/>
                <w:highlight w:val="yellow"/>
                <w:u w:val="single"/>
                <w:lang w:eastAsia="fr-FR"/>
              </w:rPr>
            </w:pPr>
          </w:p>
          <w:p w14:paraId="19516FBA"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59AA6F08"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269AA89"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t>Compte</w:t>
            </w:r>
            <w:r w:rsidRPr="00991668">
              <w:rPr>
                <w:rFonts w:eastAsia="Calibri"/>
                <w:u w:val="single"/>
                <w:lang w:eastAsia="fr-FR"/>
              </w:rPr>
              <w:t xml:space="preserve"> de résultats - produits</w:t>
            </w:r>
          </w:p>
          <w:p w14:paraId="3AC029FA"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79173E59" w14:textId="77777777" w:rsidR="00D601E7" w:rsidRPr="00991668" w:rsidRDefault="00D601E7" w:rsidP="00475E8B">
            <w:pPr>
              <w:spacing w:before="120" w:line="312" w:lineRule="auto"/>
              <w:rPr>
                <w:rFonts w:eastAsia="Calibri"/>
                <w:highlight w:val="yellow"/>
                <w:u w:val="single"/>
                <w:lang w:eastAsia="fr-FR"/>
              </w:rPr>
            </w:pPr>
          </w:p>
          <w:p w14:paraId="0BBFD711"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lastRenderedPageBreak/>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5A14060D"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A726729" w14:textId="77777777" w:rsidR="00D601E7" w:rsidRPr="007038E4" w:rsidRDefault="00D601E7" w:rsidP="00475E8B">
            <w:pPr>
              <w:spacing w:before="120" w:line="312" w:lineRule="auto"/>
              <w:rPr>
                <w:rFonts w:eastAsia="Calibri"/>
                <w:u w:val="single"/>
                <w:lang w:eastAsia="fr-FR"/>
              </w:rPr>
            </w:pPr>
            <w:r w:rsidRPr="00991668">
              <w:rPr>
                <w:rFonts w:eastAsia="Calibri"/>
                <w:bCs/>
                <w:u w:val="single"/>
                <w:lang w:eastAsia="fr-FR"/>
              </w:rPr>
              <w:lastRenderedPageBreak/>
              <w:t>Compte</w:t>
            </w:r>
            <w:r w:rsidRPr="00991668">
              <w:rPr>
                <w:rFonts w:eastAsia="Calibri"/>
                <w:u w:val="single"/>
                <w:lang w:eastAsia="fr-FR"/>
              </w:rPr>
              <w:t xml:space="preserve"> de résultats - charges</w:t>
            </w:r>
          </w:p>
          <w:p w14:paraId="11EC8742"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A0DB017" w14:textId="77777777" w:rsidR="00D601E7" w:rsidRPr="00991668" w:rsidRDefault="00D601E7" w:rsidP="00475E8B">
            <w:pPr>
              <w:spacing w:before="120" w:line="312" w:lineRule="auto"/>
              <w:rPr>
                <w:rFonts w:eastAsia="Calibri"/>
                <w:highlight w:val="yellow"/>
                <w:u w:val="single"/>
                <w:lang w:eastAsia="fr-FR"/>
              </w:rPr>
            </w:pPr>
          </w:p>
          <w:p w14:paraId="3A293647"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7D553CFF"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D390CC5"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t>Compte</w:t>
            </w:r>
            <w:r w:rsidRPr="00991668">
              <w:rPr>
                <w:rFonts w:eastAsia="Calibri"/>
                <w:u w:val="single"/>
                <w:lang w:eastAsia="fr-FR"/>
              </w:rPr>
              <w:t xml:space="preserve"> de résultats - impôts</w:t>
            </w:r>
          </w:p>
          <w:p w14:paraId="20ABB88F"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76D41B5D" w14:textId="77777777" w:rsidR="00D601E7" w:rsidRPr="00991668" w:rsidRDefault="00D601E7" w:rsidP="00475E8B">
            <w:pPr>
              <w:spacing w:before="120" w:line="312" w:lineRule="auto"/>
              <w:rPr>
                <w:rFonts w:eastAsia="Calibri"/>
                <w:highlight w:val="yellow"/>
                <w:u w:val="single"/>
                <w:lang w:eastAsia="fr-FR"/>
              </w:rPr>
            </w:pPr>
          </w:p>
          <w:p w14:paraId="422AC1AF"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D601E7" w:rsidRPr="007038E4" w14:paraId="508827D3" w14:textId="77777777" w:rsidTr="00475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A120E74" w14:textId="77777777" w:rsidR="00D601E7" w:rsidRPr="00991668" w:rsidRDefault="00D601E7" w:rsidP="00475E8B">
            <w:pPr>
              <w:spacing w:before="120" w:line="312" w:lineRule="auto"/>
              <w:rPr>
                <w:rFonts w:eastAsia="Calibri"/>
                <w:u w:val="single"/>
                <w:lang w:eastAsia="fr-FR"/>
              </w:rPr>
            </w:pPr>
            <w:r w:rsidRPr="00991668">
              <w:rPr>
                <w:rFonts w:eastAsia="Calibri"/>
                <w:bCs/>
                <w:u w:val="single"/>
                <w:lang w:eastAsia="fr-FR"/>
              </w:rPr>
              <w:t>Autres</w:t>
            </w:r>
          </w:p>
          <w:p w14:paraId="31C14FE2" w14:textId="77777777" w:rsidR="00D601E7" w:rsidRPr="00991668" w:rsidRDefault="00D601E7" w:rsidP="00475E8B">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0225F7A" w14:textId="77777777" w:rsidR="00D601E7" w:rsidRPr="00991668" w:rsidRDefault="00D601E7" w:rsidP="00475E8B">
            <w:pPr>
              <w:spacing w:before="120" w:line="312" w:lineRule="auto"/>
              <w:rPr>
                <w:rFonts w:eastAsia="Calibri"/>
                <w:highlight w:val="yellow"/>
                <w:u w:val="single"/>
                <w:lang w:eastAsia="fr-FR"/>
              </w:rPr>
            </w:pPr>
          </w:p>
          <w:p w14:paraId="21B5A503" w14:textId="77777777" w:rsidR="00D601E7" w:rsidRPr="00991668" w:rsidRDefault="00D601E7" w:rsidP="00475E8B">
            <w:pPr>
              <w:spacing w:before="120" w:line="312" w:lineRule="auto"/>
              <w:rPr>
                <w:rFonts w:eastAsia="Calibri"/>
                <w:highlight w:val="yellow"/>
                <w:u w:val="single"/>
                <w:lang w:eastAsia="fr-FR"/>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bl>
    <w:p w14:paraId="126CAB49" w14:textId="77777777" w:rsidR="00D601E7" w:rsidRPr="00991668" w:rsidRDefault="00D601E7" w:rsidP="00D601E7">
      <w:pPr>
        <w:spacing w:after="0" w:line="240" w:lineRule="auto"/>
        <w:rPr>
          <w:lang w:eastAsia="fr-FR"/>
        </w:rPr>
      </w:pPr>
    </w:p>
    <w:tbl>
      <w:tblPr>
        <w:tblStyle w:val="Tabelraster"/>
        <w:tblW w:w="0" w:type="auto"/>
        <w:tblLook w:val="04A0" w:firstRow="1" w:lastRow="0" w:firstColumn="1" w:lastColumn="0" w:noHBand="0" w:noVBand="1"/>
      </w:tblPr>
      <w:tblGrid>
        <w:gridCol w:w="3156"/>
        <w:gridCol w:w="2485"/>
        <w:gridCol w:w="1346"/>
        <w:gridCol w:w="2074"/>
      </w:tblGrid>
      <w:tr w:rsidR="00D601E7" w:rsidRPr="007038E4" w14:paraId="297570D1" w14:textId="77777777" w:rsidTr="00475E8B">
        <w:tc>
          <w:tcPr>
            <w:tcW w:w="3338" w:type="dxa"/>
          </w:tcPr>
          <w:p w14:paraId="6DF3DCFE" w14:textId="77777777" w:rsidR="00D601E7" w:rsidRPr="007038E4" w:rsidRDefault="00D601E7" w:rsidP="00475E8B">
            <w:pPr>
              <w:spacing w:before="120"/>
              <w:jc w:val="center"/>
              <w:rPr>
                <w:b/>
              </w:rPr>
            </w:pPr>
            <w:r w:rsidRPr="007038E4">
              <w:rPr>
                <w:b/>
              </w:rPr>
              <w:t>Fonction</w:t>
            </w:r>
          </w:p>
        </w:tc>
        <w:tc>
          <w:tcPr>
            <w:tcW w:w="2662" w:type="dxa"/>
          </w:tcPr>
          <w:p w14:paraId="3F71F56F" w14:textId="77777777" w:rsidR="00D601E7" w:rsidRPr="007038E4" w:rsidRDefault="00D601E7" w:rsidP="00475E8B">
            <w:pPr>
              <w:spacing w:before="120"/>
              <w:jc w:val="center"/>
              <w:rPr>
                <w:b/>
              </w:rPr>
            </w:pPr>
            <w:r w:rsidRPr="007038E4">
              <w:rPr>
                <w:b/>
              </w:rPr>
              <w:t>Nom</w:t>
            </w:r>
          </w:p>
        </w:tc>
        <w:tc>
          <w:tcPr>
            <w:tcW w:w="1405" w:type="dxa"/>
          </w:tcPr>
          <w:p w14:paraId="11E1723A" w14:textId="77777777" w:rsidR="00D601E7" w:rsidRPr="007038E4" w:rsidRDefault="00D601E7" w:rsidP="00475E8B">
            <w:pPr>
              <w:spacing w:before="120"/>
              <w:jc w:val="center"/>
              <w:rPr>
                <w:b/>
              </w:rPr>
            </w:pPr>
            <w:r w:rsidRPr="007038E4">
              <w:rPr>
                <w:b/>
              </w:rPr>
              <w:t>Date</w:t>
            </w:r>
          </w:p>
        </w:tc>
        <w:tc>
          <w:tcPr>
            <w:tcW w:w="2171" w:type="dxa"/>
          </w:tcPr>
          <w:p w14:paraId="10E7D8D0" w14:textId="77777777" w:rsidR="00D601E7" w:rsidRPr="007038E4" w:rsidRDefault="00D601E7" w:rsidP="00475E8B">
            <w:pPr>
              <w:spacing w:before="120"/>
              <w:jc w:val="center"/>
              <w:rPr>
                <w:b/>
              </w:rPr>
            </w:pPr>
            <w:r w:rsidRPr="007038E4">
              <w:rPr>
                <w:b/>
              </w:rPr>
              <w:t>Signature</w:t>
            </w:r>
          </w:p>
        </w:tc>
      </w:tr>
      <w:tr w:rsidR="00D601E7" w:rsidRPr="007038E4" w14:paraId="671EC927" w14:textId="77777777" w:rsidTr="00475E8B">
        <w:tc>
          <w:tcPr>
            <w:tcW w:w="3338" w:type="dxa"/>
          </w:tcPr>
          <w:p w14:paraId="1975BFD2" w14:textId="77777777" w:rsidR="00D601E7" w:rsidRPr="007038E4" w:rsidRDefault="00D601E7" w:rsidP="00475E8B">
            <w:pPr>
              <w:spacing w:before="120" w:line="312" w:lineRule="auto"/>
            </w:pPr>
            <w:r w:rsidRPr="007038E4">
              <w:rPr>
                <w:lang w:eastAsia="fr-FR"/>
              </w:rPr>
              <w:t>R</w:t>
            </w:r>
            <w:r w:rsidRPr="00991668">
              <w:rPr>
                <w:lang w:eastAsia="fr-FR"/>
              </w:rPr>
              <w:t xml:space="preserve">esponsable </w:t>
            </w:r>
            <w:r w:rsidRPr="007038E4">
              <w:t>du processus de surveillance du système interne de contrôle qualité</w:t>
            </w:r>
          </w:p>
        </w:tc>
        <w:tc>
          <w:tcPr>
            <w:tcW w:w="2662" w:type="dxa"/>
          </w:tcPr>
          <w:p w14:paraId="554C901D"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405" w:type="dxa"/>
          </w:tcPr>
          <w:p w14:paraId="7541848B"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2171" w:type="dxa"/>
          </w:tcPr>
          <w:p w14:paraId="6D86CACB" w14:textId="77777777" w:rsidR="00D601E7" w:rsidRPr="007038E4" w:rsidRDefault="00D601E7" w:rsidP="00475E8B">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bl>
    <w:p w14:paraId="2317BD4E" w14:textId="77777777" w:rsidR="00D601E7" w:rsidRDefault="00D601E7" w:rsidP="00D601E7">
      <w:pPr>
        <w:pStyle w:val="NormalItalique"/>
        <w:rPr>
          <w:rFonts w:ascii="Arial" w:hAnsi="Arial" w:cs="Arial"/>
          <w:iCs/>
          <w:lang w:val="fr-BE"/>
        </w:rPr>
      </w:pPr>
      <w:r w:rsidRPr="007038E4">
        <w:rPr>
          <w:rFonts w:ascii="Arial" w:hAnsi="Arial" w:cs="Arial"/>
          <w:iCs/>
          <w:lang w:val="fr-BE"/>
        </w:rPr>
        <w:t xml:space="preserve">Source (à </w:t>
      </w:r>
      <w:r w:rsidRPr="00991668">
        <w:rPr>
          <w:rFonts w:ascii="Arial" w:hAnsi="Arial" w:cs="Arial"/>
          <w:lang w:val="fr-BE" w:eastAsia="nl-BE"/>
        </w:rPr>
        <w:t>mentionner lors de toute utilisation à une autre fin que celle d’un réviseur d’entreprises dans l’exercice de sa mission)</w:t>
      </w:r>
      <w:r w:rsidRPr="007038E4">
        <w:rPr>
          <w:rFonts w:ascii="Arial" w:hAnsi="Arial" w:cs="Arial"/>
          <w:iCs/>
          <w:lang w:val="fr-BE"/>
        </w:rPr>
        <w:t> : Centre d’information du révisorat d’entreprises (ICCI).</w:t>
      </w:r>
      <w:bookmarkEnd w:id="6"/>
    </w:p>
    <w:p w14:paraId="60C60E89" w14:textId="77777777" w:rsidR="00D601E7" w:rsidRPr="007038E4" w:rsidRDefault="00D601E7" w:rsidP="00D601E7">
      <w:pPr>
        <w:pStyle w:val="Kop2"/>
      </w:pPr>
      <w:bookmarkStart w:id="39" w:name="_Toc527021616"/>
      <w:r w:rsidRPr="00B24B64">
        <w:lastRenderedPageBreak/>
        <w:t>Exemple de lettre de mission du responsable du processus de surveillance du système interne de contrôle de qualité</w:t>
      </w:r>
      <w:bookmarkEnd w:id="39"/>
    </w:p>
    <w:p w14:paraId="29287643" w14:textId="77777777" w:rsidR="00D601E7" w:rsidRPr="00B24B64" w:rsidRDefault="00D601E7" w:rsidP="00D601E7">
      <w:pPr>
        <w:spacing w:after="120"/>
        <w:jc w:val="both"/>
        <w:rPr>
          <w:rFonts w:eastAsia="Times New Roman" w:cs="Times New Roman"/>
          <w:noProof/>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601E7" w:rsidRPr="00B24B64" w14:paraId="0F593054" w14:textId="77777777" w:rsidTr="00475E8B">
        <w:trPr>
          <w:trHeight w:val="1422"/>
        </w:trPr>
        <w:tc>
          <w:tcPr>
            <w:tcW w:w="9212" w:type="dxa"/>
            <w:shd w:val="clear" w:color="auto" w:fill="DEEAF6"/>
          </w:tcPr>
          <w:p w14:paraId="104DAFAD" w14:textId="77777777" w:rsidR="00D601E7" w:rsidRPr="00B24B64" w:rsidRDefault="00D601E7" w:rsidP="00475E8B">
            <w:pPr>
              <w:overflowPunct w:val="0"/>
              <w:autoSpaceDE w:val="0"/>
              <w:autoSpaceDN w:val="0"/>
              <w:adjustRightInd w:val="0"/>
              <w:spacing w:before="220" w:after="120"/>
              <w:ind w:right="69"/>
              <w:jc w:val="both"/>
              <w:textAlignment w:val="baseline"/>
              <w:rPr>
                <w:rFonts w:eastAsia="Times New Roman"/>
                <w:i/>
                <w:noProof/>
                <w:color w:val="000000"/>
                <w:lang w:val="fr-FR" w:eastAsia="fr-BE"/>
              </w:rPr>
            </w:pPr>
            <w:r w:rsidRPr="00B24B64">
              <w:rPr>
                <w:rFonts w:eastAsia="Times New Roman"/>
                <w:i/>
                <w:noProof/>
                <w:color w:val="000000"/>
                <w:lang w:val="fr-FR" w:eastAsia="fr-BE"/>
              </w:rPr>
              <w:t>La lettre suivante est donnée à titre d’exemple pour une mission surveillance du système interne de contrôle qualité dans le cadre de l’application de la norme ISQC 1 et de la loi du 7 décembre 2016 portant organisation de la profession et de la supervision publique des réviseurs d’entreprises. Cet exemple de lettre n’a pas de caractère contraignant mais a pour but de servir uniquement de cadre et nécessitera d’être adapté selon les exigences et circonstances individuelles.</w:t>
            </w:r>
          </w:p>
        </w:tc>
      </w:tr>
    </w:tbl>
    <w:p w14:paraId="6B9FCDFF" w14:textId="77777777" w:rsidR="00D601E7" w:rsidRPr="00B24B64" w:rsidRDefault="00D601E7" w:rsidP="00D601E7">
      <w:pPr>
        <w:spacing w:after="120"/>
        <w:jc w:val="both"/>
        <w:rPr>
          <w:rFonts w:eastAsia="Times New Roman" w:cs="Times New Roman"/>
          <w:noProof/>
          <w:lang w:val="fr-FR"/>
        </w:rPr>
      </w:pPr>
    </w:p>
    <w:p w14:paraId="6CAE946A"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 xml:space="preserve">Chère Madame/Cher Monsieur/Chère Consoeur/Cher Confrère </w:t>
      </w:r>
      <w:r w:rsidRPr="00B24B64">
        <w:rPr>
          <w:rFonts w:eastAsia="Times New Roman"/>
          <w:noProof/>
          <w:color w:val="000000"/>
          <w:lang w:val="fr-FR" w:eastAsia="fr-BE"/>
        </w:rPr>
        <w:t>[</w:t>
      </w:r>
      <w:r w:rsidRPr="00B24B64">
        <w:rPr>
          <w:rFonts w:eastAsia="Times New Roman"/>
          <w:noProof/>
          <w:color w:val="000000"/>
          <w:highlight w:val="yellow"/>
          <w:lang w:val="fr-FR" w:eastAsia="fr-BE"/>
        </w:rPr>
        <w:t>réviseur d’entreprises</w:t>
      </w:r>
      <w:r w:rsidRPr="00B24B64">
        <w:rPr>
          <w:rFonts w:eastAsia="Times New Roman"/>
          <w:noProof/>
          <w:color w:val="000000"/>
          <w:lang w:val="fr-FR" w:eastAsia="fr-BE"/>
        </w:rPr>
        <w:t>]</w:t>
      </w:r>
      <w:r w:rsidRPr="00B24B64">
        <w:rPr>
          <w:rFonts w:eastAsia="Times New Roman"/>
          <w:noProof/>
          <w:color w:val="000000"/>
          <w:vertAlign w:val="superscript"/>
          <w:lang w:val="fr-FR" w:eastAsia="fr-BE"/>
        </w:rPr>
        <w:footnoteReference w:id="1"/>
      </w:r>
      <w:r w:rsidRPr="00B24B64">
        <w:rPr>
          <w:rFonts w:eastAsia="Times New Roman" w:cs="Times New Roman"/>
          <w:noProof/>
          <w:lang w:val="fr-FR"/>
        </w:rPr>
        <w:t>,</w:t>
      </w:r>
    </w:p>
    <w:p w14:paraId="00808C31"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color w:val="000000"/>
          <w:lang w:val="fr-FR" w:eastAsia="fr-BE"/>
        </w:rPr>
        <w:t>Comme suite à notre aimable entretien relatif à l’accomplissement d’une mission de</w:t>
      </w:r>
      <w:r w:rsidRPr="00B24B64">
        <w:rPr>
          <w:rFonts w:eastAsia="Times New Roman" w:cs="Times New Roman"/>
          <w:noProof/>
          <w:lang w:val="fr-FR"/>
        </w:rPr>
        <w:t xml:space="preserve"> surveillance annuelle du système interne de contrôle qualité</w:t>
      </w:r>
      <w:r w:rsidRPr="00B24B64">
        <w:rPr>
          <w:rFonts w:eastAsia="Times New Roman" w:cs="Times New Roman"/>
          <w:noProof/>
          <w:color w:val="000000"/>
          <w:lang w:val="fr-FR" w:eastAsia="fr-BE"/>
        </w:rPr>
        <w:t xml:space="preserve"> de votre cabinet dans le cadre de l’application de la norme ISQC 1 et de la loi du 7 décembre 2016</w:t>
      </w:r>
      <w:r w:rsidRPr="00B24B64">
        <w:rPr>
          <w:rFonts w:eastAsia="Times New Roman" w:cs="Times New Roman"/>
          <w:lang w:eastAsia="fr-BE"/>
        </w:rPr>
        <w:t xml:space="preserve"> </w:t>
      </w:r>
      <w:r w:rsidRPr="00B24B64">
        <w:rPr>
          <w:rFonts w:eastAsia="Times New Roman" w:cs="Times New Roman"/>
          <w:noProof/>
          <w:color w:val="000000"/>
          <w:lang w:val="fr-FR" w:eastAsia="fr-BE"/>
        </w:rPr>
        <w:t xml:space="preserve">portant organisation de la profession et de la supervision publique des réviseurs d’entreprises, </w:t>
      </w:r>
      <w:r w:rsidRPr="00B24B64">
        <w:rPr>
          <w:rFonts w:eastAsia="Times New Roman" w:cs="Times New Roman"/>
          <w:noProof/>
          <w:lang w:val="fr-FR"/>
        </w:rPr>
        <w:t xml:space="preserve">, nous souhaitons vous apporter quelques précisions destinées à fixer clairement les conditions dans lesquelles il nous serait possible d’exercer la mission. </w:t>
      </w:r>
    </w:p>
    <w:p w14:paraId="5E8ED3A5" w14:textId="77777777" w:rsidR="00D601E7" w:rsidRPr="00B24B64" w:rsidRDefault="00D601E7" w:rsidP="00D601E7">
      <w:pPr>
        <w:spacing w:after="120"/>
        <w:jc w:val="both"/>
        <w:rPr>
          <w:rFonts w:eastAsia="Times New Roman" w:cs="Times New Roman"/>
          <w:iCs/>
          <w:noProof/>
          <w:lang w:val="fr-FR"/>
        </w:rPr>
      </w:pPr>
      <w:r w:rsidRPr="00B24B64">
        <w:rPr>
          <w:rFonts w:eastAsia="Times New Roman" w:cs="Times New Roman"/>
          <w:bCs/>
          <w:noProof/>
          <w:lang w:val="fr-FR"/>
        </w:rPr>
        <w:t>Nous exécuterons notre mission avec toute la diligence requise et conformément aux règles professionnelles et aux dispositions légales applicables et, en particulier</w:t>
      </w:r>
      <w:r w:rsidRPr="00B24B64">
        <w:rPr>
          <w:rFonts w:eastAsia="Times New Roman" w:cs="Times New Roman"/>
          <w:noProof/>
          <w:lang w:val="fr-FR"/>
        </w:rPr>
        <w:t xml:space="preserve"> à la norme ISQC 1 (notamment les § 48 à 54)</w:t>
      </w:r>
      <w:r w:rsidRPr="00B24B64">
        <w:rPr>
          <w:rFonts w:eastAsia="Times New Roman" w:cs="Times New Roman"/>
          <w:iCs/>
          <w:noProof/>
          <w:lang w:val="fr-FR"/>
        </w:rPr>
        <w:t xml:space="preserve">, laquelle détermine la portée et les caractéristiques essentielles de cette mission. </w:t>
      </w:r>
      <w:r w:rsidRPr="00B24B64">
        <w:rPr>
          <w:rFonts w:eastAsia="Times New Roman" w:cs="Times New Roman"/>
          <w:bCs/>
          <w:noProof/>
          <w:lang w:val="fr-FR"/>
        </w:rPr>
        <w:t>Sauf disposition contraire de la loi ou des règles professionnelles, cette mission comporte une obligation de moyen et non de résultat.</w:t>
      </w:r>
    </w:p>
    <w:p w14:paraId="285A425A"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Notre mission vise à effectuer une surveillance des politiques et procédures du système interne de contrôle qualité de votre cabinet destinées à fournir l’assurance raisonnable que ces dernières sont pertinentes, adéquates et fonctionnent efficacement.</w:t>
      </w:r>
    </w:p>
    <w:p w14:paraId="29B03ABB"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 xml:space="preserve">La mission de revue comportera deux aspects, à savoir : </w:t>
      </w:r>
    </w:p>
    <w:p w14:paraId="68C9EF13"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 la conformité de votre organisation avec la norme ISQC 1 ainsi que la loi anti-blanchiment,</w:t>
      </w:r>
    </w:p>
    <w:p w14:paraId="25E58F42"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 l’examen et la revue d’un dossier de commissaire et d’une mission ponctuelle.</w:t>
      </w:r>
    </w:p>
    <w:p w14:paraId="72B5AB45"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Cet examen sera réalisé essentiellement sur la base du questionnaire « </w:t>
      </w:r>
      <w:r w:rsidRPr="000269F9">
        <w:rPr>
          <w:rFonts w:eastAsia="Times New Roman" w:cs="Times New Roman"/>
          <w:noProof/>
          <w:lang w:val="fr-FR"/>
        </w:rPr>
        <w:t>Checklist Surveillance de l'organisation du cabinet</w:t>
      </w:r>
      <w:r w:rsidRPr="00B24B64">
        <w:rPr>
          <w:rFonts w:eastAsia="Times New Roman" w:cs="Times New Roman"/>
          <w:noProof/>
          <w:lang w:val="fr-FR"/>
        </w:rPr>
        <w:t xml:space="preserve"> » </w:t>
      </w:r>
      <w:r w:rsidRPr="00B24B64">
        <w:rPr>
          <w:rFonts w:eastAsia="Times New Roman" w:cs="Times New Roman"/>
          <w:noProof/>
          <w:highlight w:val="yellow"/>
          <w:lang w:val="fr-FR"/>
        </w:rPr>
        <w:t>adopté au sein de notre réseau/proposé par l’ICCI.</w:t>
      </w:r>
    </w:p>
    <w:p w14:paraId="3E785D2B"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 xml:space="preserve">La correcte réalisation de notre mission est conditionnée par votre bonne collaboration et sera planifiée de commun accord dans le courant du mois </w:t>
      </w:r>
      <w:r w:rsidRPr="00B24B64">
        <w:rPr>
          <w:rFonts w:eastAsia="Times New Roman" w:cs="Times New Roman"/>
          <w:noProof/>
          <w:highlight w:val="yellow"/>
          <w:lang w:val="fr-FR"/>
        </w:rPr>
        <w:t>_____</w:t>
      </w:r>
      <w:r w:rsidRPr="00B24B64">
        <w:rPr>
          <w:rFonts w:eastAsia="Times New Roman" w:cs="Times New Roman"/>
          <w:noProof/>
          <w:lang w:val="fr-FR"/>
        </w:rPr>
        <w:t xml:space="preserve"> de cette année.  </w:t>
      </w:r>
    </w:p>
    <w:p w14:paraId="2A9B1210"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Notre rémunération couvrant la charge de cette mission de revue consiste en</w:t>
      </w:r>
      <w:r w:rsidRPr="00B24B64">
        <w:rPr>
          <w:rFonts w:eastAsia="Times New Roman" w:cs="Times New Roman"/>
          <w:noProof/>
          <w:color w:val="000000"/>
          <w:lang w:val="fr-FR" w:eastAsia="fr-BE"/>
        </w:rPr>
        <w:t xml:space="preserve"> </w:t>
      </w:r>
      <w:r w:rsidRPr="00B24B64">
        <w:rPr>
          <w:rFonts w:eastAsia="Times New Roman" w:cs="Times New Roman"/>
          <w:noProof/>
          <w:color w:val="000000"/>
          <w:highlight w:val="yellow"/>
          <w:lang w:val="fr-FR" w:eastAsia="fr-BE"/>
        </w:rPr>
        <w:t>une somme fixe qui sera de ... EUR</w:t>
      </w:r>
      <w:r w:rsidRPr="00B24B64">
        <w:rPr>
          <w:rFonts w:eastAsia="Times New Roman" w:cs="Times New Roman"/>
          <w:noProof/>
          <w:color w:val="000000"/>
          <w:lang w:val="fr-FR" w:eastAsia="fr-BE"/>
        </w:rPr>
        <w:t xml:space="preserve"> (hors T.V.A.)./ </w:t>
      </w:r>
      <w:r w:rsidRPr="00B24B64">
        <w:rPr>
          <w:rFonts w:eastAsia="Times New Roman" w:cs="Times New Roman"/>
          <w:noProof/>
          <w:lang w:val="fr-FR"/>
        </w:rPr>
        <w:t xml:space="preserve">un tarif horaire de …. EUR hors T.V.A.. Il est convenu que notre cabinet vous adressera sa facture après l’exécution de la mission. </w:t>
      </w:r>
    </w:p>
    <w:p w14:paraId="1A10C8AE"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 xml:space="preserve">Nous vous confirmons que nous sommes adéquatement couverts par notre propre police d’assurance en ce qui concerne la présente relation contractuelle avec vous. </w:t>
      </w:r>
    </w:p>
    <w:p w14:paraId="10EF7F06"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 xml:space="preserve">[En cas de litige relatif à la validité, à l’interprétation ou à l’exécution de la présente convention, qui ne pourrait être résolu à l’amiable et à l’exception des litiges à propos des émoluments, nous tenterons de </w:t>
      </w:r>
      <w:r w:rsidRPr="00B24B64">
        <w:rPr>
          <w:rFonts w:eastAsia="Times New Roman" w:cs="Times New Roman"/>
          <w:noProof/>
          <w:lang w:val="fr-FR"/>
        </w:rPr>
        <w:lastRenderedPageBreak/>
        <w:t>résoudre avec vous ce litige par la médiation. Nous désignerons avec vous un médiateur parmi les médiateurs agréés par la Commission fédérale de médiation.</w:t>
      </w:r>
    </w:p>
    <w:p w14:paraId="4EE8CB6A"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En cas d’échec de la médiation, le litige sera soumis à un confrère indépendant désigné à cet effet par le Conseil de l’IRE]</w:t>
      </w:r>
    </w:p>
    <w:p w14:paraId="53D0913A"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color w:val="000000"/>
          <w:lang w:val="fr-FR" w:eastAsia="fr-BE"/>
        </w:rPr>
        <w:t xml:space="preserve">Nous tenons à vous remercier très sincèrement d’avoir consulté notre cabinet en vue de lui confier cette mission et </w:t>
      </w:r>
      <w:r w:rsidRPr="00B24B64">
        <w:rPr>
          <w:rFonts w:eastAsia="Times New Roman" w:cs="Times New Roman"/>
          <w:noProof/>
          <w:lang w:val="fr-FR"/>
        </w:rPr>
        <w:t xml:space="preserve"> vous prions de bien vouloir signer et nous retourner l'exemplaire ci-joint de cette lettre, avec la mention « pour accord », afin d'accuser réception sur les termes et conditions de notre mission de surveillance, y compris de nos responsabilités respectives.</w:t>
      </w:r>
    </w:p>
    <w:p w14:paraId="0360313F" w14:textId="77777777" w:rsidR="00D601E7" w:rsidRPr="00B24B64" w:rsidRDefault="00D601E7" w:rsidP="00D601E7">
      <w:pPr>
        <w:spacing w:after="120"/>
        <w:jc w:val="both"/>
        <w:rPr>
          <w:rFonts w:eastAsia="Times New Roman" w:cs="Times New Roman"/>
          <w:noProof/>
          <w:lang w:val="fr-FR"/>
        </w:rPr>
      </w:pPr>
      <w:r w:rsidRPr="00B24B64">
        <w:rPr>
          <w:rFonts w:eastAsia="Times New Roman" w:cs="Times New Roman"/>
          <w:noProof/>
          <w:lang w:val="fr-FR"/>
        </w:rPr>
        <w:t>Nous vous prions d’agréer, Chère Madame/Cher Monsieur/Chère Consoeur/Cher Confrère,, l’expression de nos sincères salutations,</w:t>
      </w:r>
    </w:p>
    <w:p w14:paraId="1C4DE2D4" w14:textId="77777777" w:rsidR="00D601E7" w:rsidRPr="00B24B64" w:rsidRDefault="00D601E7" w:rsidP="00D601E7">
      <w:pPr>
        <w:spacing w:after="120"/>
        <w:jc w:val="both"/>
        <w:rPr>
          <w:rFonts w:eastAsia="Times New Roman" w:cs="Times New Roman"/>
          <w:lang w:val="fr-FR"/>
        </w:rPr>
      </w:pPr>
    </w:p>
    <w:p w14:paraId="7303A78B" w14:textId="77777777" w:rsidR="00D601E7" w:rsidRPr="00B24B64" w:rsidRDefault="00D601E7" w:rsidP="00D601E7">
      <w:pPr>
        <w:spacing w:after="120"/>
        <w:jc w:val="both"/>
        <w:rPr>
          <w:rFonts w:eastAsia="Times New Roman" w:cs="Times New Roman"/>
          <w:lang w:val="fr-FR"/>
        </w:rPr>
      </w:pPr>
      <w:r w:rsidRPr="00B24B64">
        <w:rPr>
          <w:rFonts w:eastAsia="Times New Roman" w:cs="Times New Roman"/>
          <w:lang w:val="fr-FR"/>
        </w:rPr>
        <w:t xml:space="preserve">Coordonnées de la personne </w:t>
      </w:r>
      <w:r w:rsidRPr="00B24B64">
        <w:rPr>
          <w:rFonts w:eastAsia="Times New Roman" w:cs="Times New Roman"/>
          <w:lang w:eastAsia="fr-BE"/>
        </w:rPr>
        <w:t>responsable du processus de surveillance du système interne de contrôle de qualité</w:t>
      </w:r>
    </w:p>
    <w:p w14:paraId="6E3F791A" w14:textId="77777777" w:rsidR="00D601E7" w:rsidRPr="00B24B64" w:rsidRDefault="00D601E7" w:rsidP="00D601E7">
      <w:pPr>
        <w:spacing w:after="120"/>
        <w:jc w:val="both"/>
        <w:rPr>
          <w:rFonts w:eastAsia="Times New Roman" w:cs="Times New Roman"/>
          <w:lang w:val="fr-FR"/>
        </w:rPr>
      </w:pPr>
    </w:p>
    <w:p w14:paraId="1415D328" w14:textId="77777777" w:rsidR="00D601E7" w:rsidRPr="00B24B64" w:rsidRDefault="00D601E7" w:rsidP="00D601E7">
      <w:pPr>
        <w:spacing w:after="120"/>
        <w:jc w:val="both"/>
        <w:rPr>
          <w:rFonts w:eastAsia="Times New Roman" w:cs="Times New Roman"/>
          <w:lang w:val="fr-FR"/>
        </w:rPr>
      </w:pPr>
      <w:r w:rsidRPr="00B24B64">
        <w:rPr>
          <w:rFonts w:eastAsia="Times New Roman" w:cs="Times New Roman"/>
          <w:lang w:val="fr-FR"/>
        </w:rPr>
        <w:t>Signature</w:t>
      </w:r>
    </w:p>
    <w:p w14:paraId="245270FC" w14:textId="77777777" w:rsidR="00D601E7" w:rsidRPr="00B24B64" w:rsidRDefault="00D601E7" w:rsidP="00D601E7">
      <w:pPr>
        <w:spacing w:after="120"/>
        <w:jc w:val="both"/>
        <w:rPr>
          <w:rFonts w:eastAsia="Times New Roman" w:cs="Times New Roman"/>
          <w:lang w:val="fr-FR"/>
        </w:rPr>
      </w:pPr>
    </w:p>
    <w:p w14:paraId="09C54A05" w14:textId="77777777" w:rsidR="00D601E7" w:rsidRPr="00B24B64" w:rsidRDefault="00D601E7" w:rsidP="00D601E7">
      <w:pPr>
        <w:spacing w:after="120"/>
        <w:jc w:val="both"/>
        <w:rPr>
          <w:rFonts w:eastAsia="Times New Roman" w:cs="Times New Roman"/>
          <w:lang w:val="fr-FR"/>
        </w:rPr>
      </w:pPr>
      <w:r w:rsidRPr="00B24B64">
        <w:rPr>
          <w:rFonts w:eastAsia="Times New Roman" w:cs="Times New Roman"/>
          <w:lang w:val="fr-FR"/>
        </w:rPr>
        <w:t>Pour accord du cabinet faisant l’objet de la surveillance:</w:t>
      </w:r>
    </w:p>
    <w:p w14:paraId="70B54674" w14:textId="77777777" w:rsidR="00D601E7" w:rsidRPr="00B24B64" w:rsidRDefault="00D601E7" w:rsidP="00D601E7">
      <w:pPr>
        <w:spacing w:after="120"/>
        <w:jc w:val="both"/>
        <w:rPr>
          <w:rFonts w:eastAsia="Times New Roman" w:cs="Times New Roman"/>
          <w:lang w:val="fr-FR"/>
        </w:rPr>
      </w:pPr>
      <w:r w:rsidRPr="00B24B64">
        <w:rPr>
          <w:rFonts w:eastAsia="Times New Roman" w:cs="Times New Roman"/>
          <w:lang w:val="fr-FR"/>
        </w:rPr>
        <w:t>Nom :</w:t>
      </w:r>
    </w:p>
    <w:p w14:paraId="755CC986" w14:textId="77777777" w:rsidR="00D601E7" w:rsidRPr="00B24B64" w:rsidRDefault="00D601E7" w:rsidP="00D601E7">
      <w:pPr>
        <w:spacing w:after="120"/>
        <w:jc w:val="both"/>
        <w:rPr>
          <w:rFonts w:eastAsia="Times New Roman" w:cs="Times New Roman"/>
          <w:lang w:val="fr-FR"/>
        </w:rPr>
      </w:pPr>
      <w:r w:rsidRPr="00B24B64">
        <w:rPr>
          <w:rFonts w:eastAsia="Times New Roman" w:cs="Times New Roman"/>
          <w:lang w:val="fr-FR"/>
        </w:rPr>
        <w:t xml:space="preserve">Date : </w:t>
      </w:r>
    </w:p>
    <w:p w14:paraId="03ABFD6A" w14:textId="77777777" w:rsidR="00D601E7" w:rsidRPr="00B24B64" w:rsidRDefault="00D601E7" w:rsidP="00D601E7">
      <w:pPr>
        <w:spacing w:after="120"/>
        <w:jc w:val="both"/>
        <w:rPr>
          <w:rFonts w:eastAsia="Times New Roman" w:cs="Times New Roman"/>
          <w:lang w:eastAsia="fr-BE"/>
        </w:rPr>
      </w:pPr>
    </w:p>
    <w:p w14:paraId="782575FD" w14:textId="77777777" w:rsidR="00D601E7" w:rsidRPr="00B24B64" w:rsidRDefault="00D601E7" w:rsidP="00D601E7">
      <w:pPr>
        <w:spacing w:after="120"/>
        <w:jc w:val="both"/>
        <w:rPr>
          <w:rFonts w:eastAsia="Times New Roman" w:cs="Times New Roman"/>
          <w:lang w:eastAsia="fr-BE"/>
        </w:rPr>
      </w:pPr>
    </w:p>
    <w:p w14:paraId="502C6ABD" w14:textId="77777777" w:rsidR="00D601E7" w:rsidRPr="00B24B64" w:rsidRDefault="00D601E7" w:rsidP="00D601E7">
      <w:pPr>
        <w:spacing w:before="120" w:after="120" w:line="312" w:lineRule="auto"/>
        <w:jc w:val="both"/>
        <w:rPr>
          <w:rFonts w:eastAsia="Times New Roman" w:cs="Times New Roman"/>
          <w:lang w:eastAsia="fr-BE"/>
        </w:rPr>
      </w:pPr>
      <w:r w:rsidRPr="00B24B64">
        <w:rPr>
          <w:rFonts w:eastAsia="Times New Roman" w:cs="Times New Roman"/>
          <w:i/>
          <w:iCs/>
          <w:lang w:eastAsia="fr-BE"/>
        </w:rPr>
        <w:t xml:space="preserve">Source (à </w:t>
      </w:r>
      <w:r w:rsidRPr="00B24B64">
        <w:rPr>
          <w:rFonts w:eastAsia="Times New Roman" w:cs="Times New Roman"/>
          <w:i/>
          <w:lang w:val="fr-FR" w:eastAsia="nl-BE"/>
        </w:rPr>
        <w:t>mentionner lors de toute utilisation à une autre fin que celle d’un réviseur d’entreprises dans l’exercice de sa mission)</w:t>
      </w:r>
      <w:r w:rsidRPr="00B24B64">
        <w:rPr>
          <w:rFonts w:eastAsia="Times New Roman" w:cs="Times New Roman"/>
          <w:i/>
          <w:iCs/>
          <w:lang w:eastAsia="fr-BE"/>
        </w:rPr>
        <w:t> : Centre d’information du révisorat d’entreprises (ICCI).</w:t>
      </w:r>
    </w:p>
    <w:p w14:paraId="5307AA01" w14:textId="77777777" w:rsidR="00D601E7" w:rsidRPr="00B24B64" w:rsidRDefault="00D601E7" w:rsidP="00D601E7">
      <w:pPr>
        <w:spacing w:after="120"/>
        <w:jc w:val="both"/>
        <w:rPr>
          <w:rFonts w:eastAsia="Times New Roman" w:cs="Times New Roman"/>
          <w:lang w:eastAsia="fr-BE"/>
        </w:rPr>
      </w:pPr>
    </w:p>
    <w:p w14:paraId="6811BDEE" w14:textId="77777777" w:rsidR="00D601E7" w:rsidRPr="00991668" w:rsidRDefault="00D601E7" w:rsidP="00D601E7">
      <w:pPr>
        <w:pStyle w:val="NormalItalique"/>
        <w:rPr>
          <w:rFonts w:ascii="Arial" w:hAnsi="Arial" w:cs="Arial"/>
          <w:b/>
          <w:bCs/>
          <w:lang w:val="fr-BE" w:eastAsia="fr-FR"/>
        </w:rPr>
      </w:pPr>
    </w:p>
    <w:p w14:paraId="0BB03DF0" w14:textId="77777777" w:rsidR="00D601E7" w:rsidRPr="007038E4" w:rsidRDefault="00D601E7" w:rsidP="00D601E7">
      <w:pPr>
        <w:pStyle w:val="Kop2"/>
      </w:pPr>
      <w:bookmarkStart w:id="40" w:name="_Toc527021617"/>
      <w:r w:rsidRPr="007038E4">
        <w:lastRenderedPageBreak/>
        <w:t>Exemple d’indexation uniforme des dossiers</w:t>
      </w:r>
      <w:bookmarkEnd w:id="40"/>
    </w:p>
    <w:p w14:paraId="0344D7F0" w14:textId="77777777" w:rsidR="00D601E7" w:rsidRPr="007038E4" w:rsidRDefault="00D601E7" w:rsidP="00D601E7">
      <w:pPr>
        <w:spacing w:after="120"/>
        <w:ind w:left="1"/>
        <w:jc w:val="both"/>
        <w:rPr>
          <w:rFonts w:eastAsia="Times New Roman"/>
          <w:lang w:eastAsia="fr-BE"/>
        </w:rPr>
      </w:pPr>
    </w:p>
    <w:p w14:paraId="031CCB10" w14:textId="77777777" w:rsidR="00D601E7" w:rsidRPr="007038E4" w:rsidRDefault="00D601E7" w:rsidP="00D601E7">
      <w:pPr>
        <w:spacing w:after="120" w:line="240" w:lineRule="auto"/>
        <w:jc w:val="both"/>
        <w:rPr>
          <w:rFonts w:eastAsia="Times New Roman"/>
          <w:lang w:eastAsia="fr-BE"/>
        </w:rPr>
      </w:pPr>
      <w:r w:rsidRPr="007038E4">
        <w:rPr>
          <w:rFonts w:eastAsia="Times New Roman"/>
          <w:highlight w:val="yellow"/>
          <w:lang w:eastAsia="fr-BE"/>
        </w:rPr>
        <w:t>A insérer par le cabinet</w:t>
      </w:r>
    </w:p>
    <w:p w14:paraId="02A6D320" w14:textId="77777777" w:rsidR="00D601E7" w:rsidRPr="007038E4" w:rsidRDefault="00D601E7" w:rsidP="00D601E7">
      <w:pPr>
        <w:spacing w:after="120" w:line="240" w:lineRule="auto"/>
        <w:jc w:val="both"/>
        <w:rPr>
          <w:rFonts w:eastAsia="Times New Roman"/>
          <w:lang w:eastAsia="fr-BE"/>
        </w:rPr>
      </w:pPr>
    </w:p>
    <w:p w14:paraId="54FE207A" w14:textId="77777777" w:rsidR="00D601E7" w:rsidRPr="007038E4" w:rsidRDefault="00D601E7" w:rsidP="00D601E7">
      <w:pPr>
        <w:spacing w:after="120"/>
        <w:jc w:val="both"/>
        <w:rPr>
          <w:rFonts w:eastAsia="Times New Roman"/>
          <w:b/>
          <w:i/>
          <w:lang w:eastAsia="fr-BE"/>
        </w:rPr>
      </w:pPr>
      <w:r w:rsidRPr="007038E4">
        <w:rPr>
          <w:rFonts w:eastAsia="Times New Roman"/>
          <w:b/>
          <w:i/>
          <w:lang w:eastAsia="fr-BE"/>
        </w:rPr>
        <w:t>Conseils utiles</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289"/>
      </w:tblGrid>
      <w:tr w:rsidR="00D601E7" w:rsidRPr="007038E4" w14:paraId="53231449" w14:textId="77777777" w:rsidTr="00475E8B">
        <w:trPr>
          <w:trHeight w:val="6960"/>
        </w:trPr>
        <w:tc>
          <w:tcPr>
            <w:tcW w:w="9289" w:type="dxa"/>
            <w:shd w:val="clear" w:color="auto" w:fill="F2F2F2"/>
          </w:tcPr>
          <w:p w14:paraId="3430C0D4" w14:textId="77777777" w:rsidR="00D601E7" w:rsidRPr="007038E4" w:rsidRDefault="00D601E7" w:rsidP="00475E8B">
            <w:pPr>
              <w:spacing w:after="60"/>
              <w:ind w:left="161" w:right="213"/>
              <w:jc w:val="both"/>
              <w:rPr>
                <w:rFonts w:eastAsia="Times New Roman"/>
                <w:lang w:eastAsia="fr-BE"/>
              </w:rPr>
            </w:pPr>
            <w:r w:rsidRPr="007038E4">
              <w:rPr>
                <w:rFonts w:eastAsia="Times New Roman"/>
                <w:lang w:eastAsia="fr-BE"/>
              </w:rPr>
              <w:t>Le cabinet doit déterminer les exigences en matière de documentation de la mission nécessaires pour démontrer qu’il respecte les exigences professionnelles et les exigences des textes légaux et réglementaires. Il est suggéré que le cabinet prenne en considération les éléments suivants :</w:t>
            </w:r>
          </w:p>
          <w:p w14:paraId="4D6253D7" w14:textId="77777777" w:rsidR="00D601E7" w:rsidRPr="007038E4" w:rsidRDefault="00D601E7" w:rsidP="00D601E7">
            <w:pPr>
              <w:numPr>
                <w:ilvl w:val="0"/>
                <w:numId w:val="2"/>
              </w:numPr>
              <w:spacing w:after="60"/>
              <w:ind w:left="882" w:right="213"/>
              <w:jc w:val="both"/>
              <w:rPr>
                <w:rFonts w:eastAsia="Times New Roman"/>
                <w:lang w:eastAsia="fr-BE"/>
              </w:rPr>
            </w:pPr>
            <w:r w:rsidRPr="007038E4">
              <w:rPr>
                <w:rFonts w:eastAsia="Times New Roman"/>
                <w:lang w:eastAsia="fr-BE"/>
              </w:rPr>
              <w:t>la liste de contrôle ou la note de synthèse concernant la planification de la mission ;</w:t>
            </w:r>
          </w:p>
          <w:p w14:paraId="50373C3E" w14:textId="77777777" w:rsidR="00D601E7" w:rsidRPr="007038E4" w:rsidRDefault="00D601E7" w:rsidP="00D601E7">
            <w:pPr>
              <w:numPr>
                <w:ilvl w:val="0"/>
                <w:numId w:val="2"/>
              </w:numPr>
              <w:spacing w:after="60"/>
              <w:ind w:left="882" w:right="213"/>
              <w:jc w:val="both"/>
              <w:rPr>
                <w:rFonts w:eastAsia="Times New Roman"/>
                <w:lang w:eastAsia="fr-BE"/>
              </w:rPr>
            </w:pPr>
            <w:r w:rsidRPr="007038E4">
              <w:rPr>
                <w:rFonts w:eastAsia="Times New Roman"/>
                <w:lang w:eastAsia="fr-BE"/>
              </w:rPr>
              <w:t>les questions relevées relativement aux règles de déontologie (y compris la démonstration de la conformité) ;</w:t>
            </w:r>
          </w:p>
          <w:p w14:paraId="720EE7E5" w14:textId="77777777" w:rsidR="00D601E7" w:rsidRPr="007038E4" w:rsidRDefault="00D601E7" w:rsidP="00D601E7">
            <w:pPr>
              <w:numPr>
                <w:ilvl w:val="0"/>
                <w:numId w:val="2"/>
              </w:numPr>
              <w:spacing w:after="60"/>
              <w:ind w:left="882" w:right="213"/>
              <w:jc w:val="both"/>
              <w:rPr>
                <w:rFonts w:eastAsia="Times New Roman"/>
                <w:lang w:eastAsia="fr-BE"/>
              </w:rPr>
            </w:pPr>
            <w:r w:rsidRPr="007038E4">
              <w:rPr>
                <w:rFonts w:eastAsia="Times New Roman"/>
                <w:lang w:eastAsia="fr-BE"/>
              </w:rPr>
              <w:t>la conformité aux exigences en matière d’indépendance et la documentation de toute discussion relative à ces questions ;</w:t>
            </w:r>
          </w:p>
          <w:p w14:paraId="40E32012" w14:textId="77777777" w:rsidR="00D601E7" w:rsidRPr="007038E4" w:rsidRDefault="00D601E7" w:rsidP="00D601E7">
            <w:pPr>
              <w:numPr>
                <w:ilvl w:val="0"/>
                <w:numId w:val="2"/>
              </w:numPr>
              <w:spacing w:after="60"/>
              <w:ind w:left="882" w:right="213"/>
              <w:jc w:val="both"/>
              <w:rPr>
                <w:rFonts w:eastAsia="Times New Roman"/>
                <w:lang w:eastAsia="fr-BE"/>
              </w:rPr>
            </w:pPr>
            <w:r w:rsidRPr="007038E4">
              <w:rPr>
                <w:rFonts w:eastAsia="Times New Roman"/>
                <w:lang w:eastAsia="fr-BE"/>
              </w:rPr>
              <w:t>les conclusions dégagées concernant l’acceptation et le maintien de la relation client ;</w:t>
            </w:r>
          </w:p>
          <w:p w14:paraId="64523152" w14:textId="77777777" w:rsidR="00D601E7" w:rsidRPr="007038E4" w:rsidRDefault="00D601E7" w:rsidP="00D601E7">
            <w:pPr>
              <w:numPr>
                <w:ilvl w:val="0"/>
                <w:numId w:val="2"/>
              </w:numPr>
              <w:spacing w:after="60"/>
              <w:ind w:left="882" w:right="213"/>
              <w:jc w:val="both"/>
              <w:rPr>
                <w:rFonts w:eastAsia="Times New Roman"/>
                <w:lang w:eastAsia="fr-BE"/>
              </w:rPr>
            </w:pPr>
            <w:r w:rsidRPr="007038E4">
              <w:rPr>
                <w:rFonts w:eastAsia="Times New Roman"/>
                <w:lang w:eastAsia="fr-BE"/>
              </w:rPr>
              <w:t>les procédures appliquées pour évaluer le risque d’anomalies significatives attribuables à une fraude ou une erreur au niveau des états financiers et des assertions ;</w:t>
            </w:r>
          </w:p>
          <w:p w14:paraId="403B0E60" w14:textId="77777777" w:rsidR="00D601E7" w:rsidRPr="007038E4" w:rsidRDefault="00D601E7" w:rsidP="00D601E7">
            <w:pPr>
              <w:numPr>
                <w:ilvl w:val="0"/>
                <w:numId w:val="2"/>
              </w:numPr>
              <w:spacing w:after="60"/>
              <w:ind w:left="882" w:right="213"/>
              <w:jc w:val="both"/>
              <w:rPr>
                <w:rFonts w:eastAsia="Times New Roman"/>
                <w:lang w:eastAsia="fr-BE"/>
              </w:rPr>
            </w:pPr>
            <w:r w:rsidRPr="007038E4">
              <w:rPr>
                <w:rFonts w:eastAsia="Times New Roman"/>
                <w:lang w:eastAsia="fr-BE"/>
              </w:rPr>
              <w:t>la nature, le calendrier et l’étendue des procédures appliquées en réponse à l’évaluation du risque, y compris les résultats et les conclusions, de préférence regroupé en fonction des postes des états financiers ;</w:t>
            </w:r>
          </w:p>
          <w:p w14:paraId="34A34ED2" w14:textId="77777777" w:rsidR="00D601E7" w:rsidRPr="007038E4" w:rsidRDefault="00D601E7" w:rsidP="00D601E7">
            <w:pPr>
              <w:numPr>
                <w:ilvl w:val="0"/>
                <w:numId w:val="2"/>
              </w:numPr>
              <w:spacing w:after="60"/>
              <w:ind w:left="882" w:right="213"/>
              <w:jc w:val="both"/>
              <w:rPr>
                <w:rFonts w:eastAsia="Times New Roman"/>
                <w:lang w:eastAsia="fr-BE"/>
              </w:rPr>
            </w:pPr>
            <w:r w:rsidRPr="007038E4">
              <w:rPr>
                <w:rFonts w:eastAsia="Times New Roman"/>
                <w:lang w:eastAsia="fr-BE"/>
              </w:rPr>
              <w:t>la nature et l’étendue des consultations et les conclusions qui s’en dégagent ;</w:t>
            </w:r>
          </w:p>
          <w:p w14:paraId="78138EE0" w14:textId="77777777" w:rsidR="00D601E7" w:rsidRPr="007038E4" w:rsidRDefault="00D601E7" w:rsidP="00D601E7">
            <w:pPr>
              <w:numPr>
                <w:ilvl w:val="0"/>
                <w:numId w:val="2"/>
              </w:numPr>
              <w:spacing w:after="60"/>
              <w:ind w:left="882" w:right="213"/>
              <w:jc w:val="both"/>
              <w:rPr>
                <w:rFonts w:eastAsia="Times New Roman"/>
                <w:lang w:eastAsia="fr-BE"/>
              </w:rPr>
            </w:pPr>
            <w:r w:rsidRPr="007038E4">
              <w:rPr>
                <w:rFonts w:eastAsia="Times New Roman"/>
                <w:lang w:eastAsia="fr-BE"/>
              </w:rPr>
              <w:t>toutes les communications émises et reçues ;</w:t>
            </w:r>
          </w:p>
          <w:p w14:paraId="215D173F" w14:textId="77777777" w:rsidR="00D601E7" w:rsidRPr="007038E4" w:rsidRDefault="00D601E7" w:rsidP="00D601E7">
            <w:pPr>
              <w:numPr>
                <w:ilvl w:val="0"/>
                <w:numId w:val="2"/>
              </w:numPr>
              <w:spacing w:after="60"/>
              <w:ind w:left="882" w:right="213"/>
              <w:jc w:val="both"/>
              <w:rPr>
                <w:rFonts w:eastAsia="Times New Roman"/>
                <w:lang w:eastAsia="fr-BE"/>
              </w:rPr>
            </w:pPr>
            <w:r w:rsidRPr="007038E4">
              <w:rPr>
                <w:rFonts w:eastAsia="Times New Roman"/>
                <w:lang w:eastAsia="fr-BE"/>
              </w:rPr>
              <w:t>les résultats de la revue de contrôle qualité de la mission qui était achevée au plus tard à la date du rapport ;</w:t>
            </w:r>
          </w:p>
          <w:p w14:paraId="0B5186B5" w14:textId="77777777" w:rsidR="00D601E7" w:rsidRPr="007038E4" w:rsidRDefault="00D601E7" w:rsidP="00D601E7">
            <w:pPr>
              <w:numPr>
                <w:ilvl w:val="0"/>
                <w:numId w:val="2"/>
              </w:numPr>
              <w:spacing w:after="60"/>
              <w:ind w:left="882" w:right="213"/>
              <w:jc w:val="both"/>
              <w:rPr>
                <w:rFonts w:eastAsia="Times New Roman"/>
                <w:lang w:eastAsia="fr-BE"/>
              </w:rPr>
            </w:pPr>
            <w:r w:rsidRPr="007038E4">
              <w:rPr>
                <w:rFonts w:eastAsia="Times New Roman"/>
                <w:lang w:eastAsia="fr-BE"/>
              </w:rPr>
              <w:t>la confirmation qu’aucune question non résolue n’existe qui amènerait le responsable du contrôle qualité à croire que les jugements importants portés et les conclusions tirées ne sont pas appropriés ;</w:t>
            </w:r>
          </w:p>
          <w:p w14:paraId="51A997C8" w14:textId="77777777" w:rsidR="00D601E7" w:rsidRPr="007038E4" w:rsidRDefault="00D601E7" w:rsidP="00D601E7">
            <w:pPr>
              <w:numPr>
                <w:ilvl w:val="0"/>
                <w:numId w:val="2"/>
              </w:numPr>
              <w:spacing w:after="60"/>
              <w:ind w:left="882" w:right="213"/>
              <w:jc w:val="both"/>
              <w:rPr>
                <w:rFonts w:eastAsia="Times New Roman"/>
                <w:lang w:eastAsia="fr-BE"/>
              </w:rPr>
            </w:pPr>
            <w:r w:rsidRPr="007038E4">
              <w:rPr>
                <w:rFonts w:eastAsia="Times New Roman"/>
                <w:lang w:eastAsia="fr-BE"/>
              </w:rPr>
              <w:t>une conclusion indiquant que des éléments probants suffisants et appropriés ont été recueillis et évalués et étayent le rapport à délivrer ;</w:t>
            </w:r>
          </w:p>
          <w:p w14:paraId="7230BF2D" w14:textId="77777777" w:rsidR="00D601E7" w:rsidRPr="007038E4" w:rsidRDefault="00D601E7" w:rsidP="00D601E7">
            <w:pPr>
              <w:numPr>
                <w:ilvl w:val="0"/>
                <w:numId w:val="2"/>
              </w:numPr>
              <w:spacing w:after="60"/>
              <w:ind w:left="882"/>
              <w:jc w:val="both"/>
              <w:rPr>
                <w:rFonts w:eastAsia="Times New Roman"/>
                <w:lang w:eastAsia="fr-BE"/>
              </w:rPr>
            </w:pPr>
            <w:r w:rsidRPr="007038E4">
              <w:rPr>
                <w:rFonts w:eastAsia="Times New Roman"/>
                <w:lang w:eastAsia="fr-BE"/>
              </w:rPr>
              <w:t>la fermeture du dossier, y compris la signature appropriée.</w:t>
            </w:r>
          </w:p>
        </w:tc>
      </w:tr>
    </w:tbl>
    <w:p w14:paraId="03CE26F0" w14:textId="77777777" w:rsidR="00D601E7" w:rsidRPr="00991668" w:rsidRDefault="00D601E7" w:rsidP="00D601E7">
      <w:pPr>
        <w:spacing w:before="120" w:after="120" w:line="312" w:lineRule="auto"/>
        <w:jc w:val="both"/>
        <w:rPr>
          <w:rFonts w:eastAsia="Times New Roman" w:cs="Times New Roman"/>
          <w:i/>
          <w:kern w:val="36"/>
          <w:lang w:eastAsia="fr-BE"/>
        </w:rPr>
      </w:pPr>
      <w:r w:rsidRPr="00B24B64">
        <w:rPr>
          <w:rFonts w:eastAsia="Times New Roman" w:cs="Times New Roman"/>
          <w:i/>
          <w:iCs/>
          <w:lang w:eastAsia="fr-BE"/>
        </w:rPr>
        <w:t xml:space="preserve">Source (à </w:t>
      </w:r>
      <w:r w:rsidRPr="00B24B64">
        <w:rPr>
          <w:rFonts w:eastAsia="Times New Roman" w:cs="Times New Roman"/>
          <w:i/>
          <w:lang w:val="fr-FR" w:eastAsia="nl-BE"/>
        </w:rPr>
        <w:t>mentionner lors de toute utilisation à une autre fin que celle d’un réviseur d’entreprises dans l’exercice de sa mission)</w:t>
      </w:r>
      <w:r w:rsidRPr="00B24B64">
        <w:rPr>
          <w:rFonts w:eastAsia="Times New Roman" w:cs="Times New Roman"/>
          <w:i/>
          <w:iCs/>
          <w:lang w:eastAsia="fr-BE"/>
        </w:rPr>
        <w:t> : Centre d’information du révisorat d’entreprises (ICCI).</w:t>
      </w:r>
      <w:r w:rsidRPr="00991668">
        <w:rPr>
          <w:rFonts w:eastAsia="Times New Roman" w:cs="Times New Roman"/>
          <w:i/>
          <w:kern w:val="36"/>
          <w:lang w:eastAsia="fr-BE"/>
        </w:rPr>
        <w:t xml:space="preserve"> </w:t>
      </w:r>
    </w:p>
    <w:p w14:paraId="16B886AD" w14:textId="77777777" w:rsidR="00CA4DEE" w:rsidRDefault="00CA4DEE"/>
    <w:sectPr w:rsidR="00CA4DEE" w:rsidSect="00576930">
      <w:headerReference w:type="default" r:id="rId7"/>
      <w:footerReference w:type="default" r:id="rId8"/>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9C724" w14:textId="77777777" w:rsidR="00D601E7" w:rsidRDefault="00D601E7" w:rsidP="00D601E7">
      <w:pPr>
        <w:spacing w:after="0" w:line="240" w:lineRule="auto"/>
      </w:pPr>
      <w:r>
        <w:separator/>
      </w:r>
    </w:p>
  </w:endnote>
  <w:endnote w:type="continuationSeparator" w:id="0">
    <w:p w14:paraId="1521A3D5" w14:textId="77777777" w:rsidR="00D601E7" w:rsidRDefault="00D601E7" w:rsidP="00D6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FC16" w14:textId="10F7D82B" w:rsidR="00576930" w:rsidRDefault="00E61602" w:rsidP="00576930">
    <w:pPr>
      <w:pStyle w:val="Voettekst"/>
      <w:jc w:val="right"/>
    </w:pPr>
    <w:r>
      <w:t>V 3.0 du 06.11</w:t>
    </w:r>
    <w:r w:rsidR="00576930">
      <w:t>.2018</w:t>
    </w:r>
    <w:r w:rsidR="00576930">
      <w:tab/>
    </w:r>
    <w:r w:rsidR="00576930">
      <w:tab/>
    </w:r>
    <w:r w:rsidR="00576930">
      <w:rPr>
        <w:lang w:val="fr-FR"/>
      </w:rPr>
      <w:t xml:space="preserve">Page </w:t>
    </w:r>
    <w:r w:rsidR="00576930">
      <w:rPr>
        <w:b/>
        <w:bCs/>
      </w:rPr>
      <w:fldChar w:fldCharType="begin"/>
    </w:r>
    <w:r w:rsidR="00576930">
      <w:rPr>
        <w:b/>
        <w:bCs/>
      </w:rPr>
      <w:instrText>PAGE  \* Arabic  \* MERGEFORMAT</w:instrText>
    </w:r>
    <w:r w:rsidR="00576930">
      <w:rPr>
        <w:b/>
        <w:bCs/>
      </w:rPr>
      <w:fldChar w:fldCharType="separate"/>
    </w:r>
    <w:r w:rsidR="00576930">
      <w:rPr>
        <w:b/>
        <w:bCs/>
      </w:rPr>
      <w:t>307</w:t>
    </w:r>
    <w:r w:rsidR="00576930">
      <w:rPr>
        <w:b/>
        <w:bCs/>
      </w:rPr>
      <w:fldChar w:fldCharType="end"/>
    </w:r>
    <w:r w:rsidR="00576930">
      <w:rPr>
        <w:lang w:val="fr-FR"/>
      </w:rPr>
      <w:t xml:space="preserve"> sur </w:t>
    </w:r>
    <w:r w:rsidR="00576930">
      <w:rPr>
        <w:b/>
        <w:bCs/>
      </w:rPr>
      <w:fldChar w:fldCharType="begin"/>
    </w:r>
    <w:r w:rsidR="00576930">
      <w:rPr>
        <w:b/>
        <w:bCs/>
      </w:rPr>
      <w:instrText>NUMPAGES  \* Arabic  \* MERGEFORMAT</w:instrText>
    </w:r>
    <w:r w:rsidR="00576930">
      <w:rPr>
        <w:b/>
        <w:bCs/>
      </w:rPr>
      <w:fldChar w:fldCharType="separate"/>
    </w:r>
    <w:r w:rsidR="00576930">
      <w:rPr>
        <w:b/>
        <w:bCs/>
      </w:rPr>
      <w:t>316</w:t>
    </w:r>
    <w:r w:rsidR="0057693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BB26" w14:textId="77777777" w:rsidR="00D601E7" w:rsidRDefault="00D601E7" w:rsidP="00D601E7">
      <w:pPr>
        <w:spacing w:after="0" w:line="240" w:lineRule="auto"/>
      </w:pPr>
      <w:r>
        <w:separator/>
      </w:r>
    </w:p>
  </w:footnote>
  <w:footnote w:type="continuationSeparator" w:id="0">
    <w:p w14:paraId="1AB89D4D" w14:textId="77777777" w:rsidR="00D601E7" w:rsidRDefault="00D601E7" w:rsidP="00D601E7">
      <w:pPr>
        <w:spacing w:after="0" w:line="240" w:lineRule="auto"/>
      </w:pPr>
      <w:r>
        <w:continuationSeparator/>
      </w:r>
    </w:p>
  </w:footnote>
  <w:footnote w:id="1">
    <w:p w14:paraId="603F8ED2" w14:textId="77777777" w:rsidR="00D601E7" w:rsidRPr="00C70AF8" w:rsidRDefault="00D601E7" w:rsidP="00D601E7">
      <w:pPr>
        <w:pStyle w:val="Voetnoottekst"/>
        <w:rPr>
          <w:lang w:val="fr-BE"/>
        </w:rPr>
      </w:pPr>
      <w:r>
        <w:rPr>
          <w:rStyle w:val="Voetnootmarkering"/>
        </w:rPr>
        <w:footnoteRef/>
      </w:r>
      <w:r w:rsidRPr="00C70AF8">
        <w:rPr>
          <w:lang w:val="fr-BE"/>
        </w:rPr>
        <w:t xml:space="preserve"> Les parties en jaune sont à compléter ou adapter.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27D90" w14:textId="6834555B" w:rsidR="00CE1000" w:rsidRPr="00576930" w:rsidRDefault="00576930" w:rsidP="00576930">
    <w:pPr>
      <w:pStyle w:val="Koptekst"/>
    </w:pPr>
    <w:r>
      <w:tab/>
    </w:r>
    <w:r>
      <w:tab/>
    </w:r>
    <w:r w:rsidRPr="006E20A0">
      <w:t xml:space="preserve"> </w:t>
    </w:r>
    <w:r w:rsidRPr="006E20A0">
      <w:rPr>
        <w:rFonts w:eastAsiaTheme="majorEastAsia"/>
        <w:lang w:val="fr-FR"/>
      </w:rPr>
      <w:fldChar w:fldCharType="begin"/>
    </w:r>
    <w:r w:rsidRPr="006E20A0">
      <w:rPr>
        <w:rFonts w:eastAsiaTheme="majorEastAsia"/>
        <w:lang w:val="fr-FR"/>
      </w:rPr>
      <w:instrText xml:space="preserve"> REF LogoCabinetFr  \* MERGEFORMAT </w:instrText>
    </w:r>
    <w:r w:rsidRPr="006E20A0">
      <w:rPr>
        <w:rFonts w:eastAsiaTheme="majorEastAsia"/>
        <w:lang w:val="fr-FR"/>
      </w:rPr>
      <w:fldChar w:fldCharType="separate"/>
    </w:r>
    <w:r w:rsidRPr="006E20A0">
      <w:rPr>
        <w:rFonts w:eastAsiaTheme="majorEastAsia"/>
        <w:lang w:val="fr-FR"/>
      </w:rPr>
      <w:t> Insérer</w:t>
    </w:r>
    <w:r w:rsidRPr="006E20A0">
      <w:rPr>
        <w:lang w:val="fr-FR" w:eastAsia="nl-NL"/>
      </w:rPr>
      <w:t xml:space="preserve"> ici le logo de</w:t>
    </w:r>
    <w:r w:rsidRPr="006E20A0">
      <w:rPr>
        <w:rFonts w:eastAsiaTheme="majorEastAsia"/>
        <w:lang w:val="fr-FR"/>
      </w:rPr>
      <w:t xml:space="preserve"> </w:t>
    </w:r>
    <w:r w:rsidRPr="006E20A0">
      <w:rPr>
        <w:lang w:val="fr-FR" w:eastAsia="nl-NL"/>
      </w:rPr>
      <w:t xml:space="preserve">votre Cabinet </w:t>
    </w:r>
    <w:r w:rsidRPr="006E20A0">
      <w:rPr>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04F"/>
    <w:multiLevelType w:val="hybridMultilevel"/>
    <w:tmpl w:val="BC5459CC"/>
    <w:lvl w:ilvl="0" w:tplc="080C000B">
      <w:start w:val="1"/>
      <w:numFmt w:val="bullet"/>
      <w:lvlText w:val=""/>
      <w:lvlJc w:val="left"/>
      <w:pPr>
        <w:ind w:left="721" w:hanging="360"/>
      </w:pPr>
      <w:rPr>
        <w:rFonts w:ascii="Wingdings" w:hAnsi="Wingdings"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1" w15:restartNumberingAfterBreak="0">
    <w:nsid w:val="22596162"/>
    <w:multiLevelType w:val="hybridMultilevel"/>
    <w:tmpl w:val="AAC4D4C4"/>
    <w:lvl w:ilvl="0" w:tplc="E1DE8F40">
      <w:start w:val="1"/>
      <w:numFmt w:val="bullet"/>
      <w:pStyle w:val="Puce"/>
      <w:lvlText w:val=""/>
      <w:lvlJc w:val="left"/>
      <w:pPr>
        <w:tabs>
          <w:tab w:val="num" w:pos="1788"/>
        </w:tabs>
        <w:ind w:left="1788" w:hanging="360"/>
      </w:pPr>
      <w:rPr>
        <w:rFonts w:ascii="Symbol" w:hAnsi="Symbol" w:hint="default"/>
        <w:b w:val="0"/>
        <w:i w:val="0"/>
        <w:sz w:val="20"/>
      </w:rPr>
    </w:lvl>
    <w:lvl w:ilvl="1" w:tplc="B3D8133C">
      <w:start w:val="1"/>
      <w:numFmt w:val="bullet"/>
      <w:lvlText w:val=""/>
      <w:lvlJc w:val="left"/>
      <w:pPr>
        <w:tabs>
          <w:tab w:val="num" w:pos="2508"/>
        </w:tabs>
        <w:ind w:left="2508" w:hanging="360"/>
      </w:pPr>
      <w:rPr>
        <w:rFonts w:ascii="Symbol" w:hAnsi="Symbol" w:hint="default"/>
        <w:b w:val="0"/>
        <w:i w:val="0"/>
        <w:sz w:val="20"/>
      </w:r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E7"/>
    <w:rsid w:val="00056AF1"/>
    <w:rsid w:val="00073884"/>
    <w:rsid w:val="000A0B38"/>
    <w:rsid w:val="000D1BE9"/>
    <w:rsid w:val="00115D7F"/>
    <w:rsid w:val="00136D43"/>
    <w:rsid w:val="0014238F"/>
    <w:rsid w:val="00187478"/>
    <w:rsid w:val="001A2732"/>
    <w:rsid w:val="001D64E3"/>
    <w:rsid w:val="00217153"/>
    <w:rsid w:val="00225ADA"/>
    <w:rsid w:val="002807F8"/>
    <w:rsid w:val="002943FB"/>
    <w:rsid w:val="00295944"/>
    <w:rsid w:val="002E4685"/>
    <w:rsid w:val="003130FE"/>
    <w:rsid w:val="003418DD"/>
    <w:rsid w:val="00355452"/>
    <w:rsid w:val="00381B15"/>
    <w:rsid w:val="003F3847"/>
    <w:rsid w:val="003F5F8F"/>
    <w:rsid w:val="0042689E"/>
    <w:rsid w:val="004276F4"/>
    <w:rsid w:val="00465E2C"/>
    <w:rsid w:val="0047768D"/>
    <w:rsid w:val="004B2ABC"/>
    <w:rsid w:val="004C644B"/>
    <w:rsid w:val="005274B4"/>
    <w:rsid w:val="00566C10"/>
    <w:rsid w:val="00576930"/>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66E0A"/>
    <w:rsid w:val="009B5280"/>
    <w:rsid w:val="00A06D0A"/>
    <w:rsid w:val="00A34152"/>
    <w:rsid w:val="00A87190"/>
    <w:rsid w:val="00A92BFC"/>
    <w:rsid w:val="00AE147F"/>
    <w:rsid w:val="00B06211"/>
    <w:rsid w:val="00B53C3C"/>
    <w:rsid w:val="00BE3183"/>
    <w:rsid w:val="00BE3EA3"/>
    <w:rsid w:val="00C060EE"/>
    <w:rsid w:val="00C4217F"/>
    <w:rsid w:val="00CA4DEE"/>
    <w:rsid w:val="00D366E6"/>
    <w:rsid w:val="00D601E7"/>
    <w:rsid w:val="00D71C18"/>
    <w:rsid w:val="00D93879"/>
    <w:rsid w:val="00DA4FA7"/>
    <w:rsid w:val="00DD0A48"/>
    <w:rsid w:val="00DD61F8"/>
    <w:rsid w:val="00E61602"/>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0848"/>
  <w15:chartTrackingRefBased/>
  <w15:docId w15:val="{9F50B004-26A9-4A92-8221-1B044B67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01E7"/>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D601E7"/>
    <w:pPr>
      <w:pageBreakBefore/>
      <w:spacing w:after="120"/>
      <w:outlineLvl w:val="1"/>
    </w:pPr>
    <w:rPr>
      <w:b/>
      <w:sz w:val="44"/>
      <w:szCs w:val="44"/>
    </w:rPr>
  </w:style>
  <w:style w:type="paragraph" w:styleId="Kop3">
    <w:name w:val="heading 3"/>
    <w:basedOn w:val="Standaard"/>
    <w:next w:val="Standaard"/>
    <w:link w:val="Kop3Char"/>
    <w:uiPriority w:val="9"/>
    <w:unhideWhenUsed/>
    <w:qFormat/>
    <w:rsid w:val="00D601E7"/>
    <w:pPr>
      <w:keepNext/>
      <w:spacing w:before="240" w:after="240"/>
      <w:outlineLvl w:val="2"/>
    </w:pPr>
    <w:rPr>
      <w:rFonts w:eastAsia="Times New Roman"/>
      <w:b/>
      <w:bCs/>
      <w:i/>
      <w:color w:val="365F91"/>
      <w:sz w:val="32"/>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601E7"/>
    <w:rPr>
      <w:rFonts w:ascii="Arial" w:hAnsi="Arial" w:cs="Arial"/>
      <w:b/>
      <w:sz w:val="44"/>
      <w:szCs w:val="44"/>
    </w:rPr>
  </w:style>
  <w:style w:type="character" w:customStyle="1" w:styleId="Kop3Char">
    <w:name w:val="Kop 3 Char"/>
    <w:basedOn w:val="Standaardalinea-lettertype"/>
    <w:link w:val="Kop3"/>
    <w:uiPriority w:val="9"/>
    <w:rsid w:val="00D601E7"/>
    <w:rPr>
      <w:rFonts w:ascii="Arial" w:eastAsia="Times New Roman" w:hAnsi="Arial" w:cs="Arial"/>
      <w:b/>
      <w:bCs/>
      <w:i/>
      <w:color w:val="365F91"/>
      <w:sz w:val="32"/>
      <w:szCs w:val="26"/>
      <w:lang w:eastAsia="nl-NL"/>
    </w:rPr>
  </w:style>
  <w:style w:type="paragraph" w:styleId="Koptekst">
    <w:name w:val="header"/>
    <w:basedOn w:val="Standaard"/>
    <w:link w:val="KoptekstChar"/>
    <w:unhideWhenUsed/>
    <w:rsid w:val="00D601E7"/>
    <w:pPr>
      <w:tabs>
        <w:tab w:val="center" w:pos="4513"/>
        <w:tab w:val="right" w:pos="9026"/>
      </w:tabs>
      <w:spacing w:after="0" w:line="240" w:lineRule="auto"/>
    </w:pPr>
  </w:style>
  <w:style w:type="character" w:customStyle="1" w:styleId="KoptekstChar">
    <w:name w:val="Koptekst Char"/>
    <w:basedOn w:val="Standaardalinea-lettertype"/>
    <w:link w:val="Koptekst"/>
    <w:rsid w:val="00D601E7"/>
    <w:rPr>
      <w:rFonts w:ascii="Arial" w:hAnsi="Arial" w:cs="Arial"/>
      <w:sz w:val="20"/>
      <w:szCs w:val="20"/>
    </w:rPr>
  </w:style>
  <w:style w:type="table" w:styleId="Tabelraster">
    <w:name w:val="Table Grid"/>
    <w:basedOn w:val="Standaardtabel"/>
    <w:uiPriority w:val="59"/>
    <w:rsid w:val="00D601E7"/>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D601E7"/>
    <w:rPr>
      <w:rFonts w:asciiTheme="minorHAnsi" w:hAnsiTheme="minorHAnsi" w:cstheme="minorBidi"/>
      <w:sz w:val="18"/>
      <w:szCs w:val="22"/>
      <w:lang w:val="en-GB"/>
    </w:rPr>
  </w:style>
  <w:style w:type="character" w:customStyle="1" w:styleId="VoetnoottekstChar">
    <w:name w:val="Voetnoottekst Char"/>
    <w:basedOn w:val="Standaardalinea-lettertype"/>
    <w:link w:val="Voetnoottekst"/>
    <w:semiHidden/>
    <w:rsid w:val="00D601E7"/>
    <w:rPr>
      <w:sz w:val="18"/>
      <w:lang w:val="en-GB"/>
    </w:rPr>
  </w:style>
  <w:style w:type="character" w:styleId="Voetnootmarkering">
    <w:name w:val="footnote reference"/>
    <w:semiHidden/>
    <w:rsid w:val="00D601E7"/>
    <w:rPr>
      <w:vertAlign w:val="superscript"/>
    </w:rPr>
  </w:style>
  <w:style w:type="paragraph" w:customStyle="1" w:styleId="NormalItalique">
    <w:name w:val="Normal Italique"/>
    <w:basedOn w:val="Standaard"/>
    <w:qFormat/>
    <w:rsid w:val="00D601E7"/>
    <w:rPr>
      <w:rFonts w:asciiTheme="minorHAnsi" w:hAnsiTheme="minorHAnsi" w:cstheme="minorBidi"/>
      <w:i/>
      <w:kern w:val="36"/>
      <w:sz w:val="22"/>
      <w:szCs w:val="22"/>
      <w:lang w:val="nl-BE"/>
    </w:rPr>
  </w:style>
  <w:style w:type="paragraph" w:customStyle="1" w:styleId="Puce">
    <w:name w:val="Puce"/>
    <w:basedOn w:val="Standaard"/>
    <w:link w:val="PuceCar"/>
    <w:qFormat/>
    <w:rsid w:val="00D601E7"/>
    <w:pPr>
      <w:numPr>
        <w:numId w:val="1"/>
      </w:numPr>
      <w:tabs>
        <w:tab w:val="left" w:pos="641"/>
      </w:tabs>
      <w:spacing w:before="120"/>
    </w:pPr>
    <w:rPr>
      <w:rFonts w:asciiTheme="minorHAnsi" w:hAnsiTheme="minorHAnsi"/>
      <w:sz w:val="22"/>
      <w:szCs w:val="22"/>
      <w:lang w:val="nl-BE"/>
    </w:rPr>
  </w:style>
  <w:style w:type="character" w:customStyle="1" w:styleId="PuceCar">
    <w:name w:val="Puce Car"/>
    <w:basedOn w:val="Standaardalinea-lettertype"/>
    <w:link w:val="Puce"/>
    <w:rsid w:val="00D601E7"/>
    <w:rPr>
      <w:rFonts w:cs="Arial"/>
      <w:lang w:val="nl-BE"/>
    </w:rPr>
  </w:style>
  <w:style w:type="paragraph" w:styleId="Geenafstand">
    <w:name w:val="No Spacing"/>
    <w:uiPriority w:val="1"/>
    <w:qFormat/>
    <w:rsid w:val="00D601E7"/>
    <w:pPr>
      <w:spacing w:after="0" w:line="240" w:lineRule="auto"/>
    </w:pPr>
    <w:rPr>
      <w:rFonts w:ascii="Arial" w:hAnsi="Arial" w:cs="Arial"/>
      <w:sz w:val="20"/>
      <w:szCs w:val="20"/>
    </w:rPr>
  </w:style>
  <w:style w:type="paragraph" w:styleId="Voettekst">
    <w:name w:val="footer"/>
    <w:basedOn w:val="Standaard"/>
    <w:link w:val="VoettekstChar"/>
    <w:uiPriority w:val="99"/>
    <w:unhideWhenUsed/>
    <w:rsid w:val="0057693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7693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4C784-3B35-4CDA-9423-4CC9C039E6EF}"/>
</file>

<file path=customXml/itemProps2.xml><?xml version="1.0" encoding="utf-8"?>
<ds:datastoreItem xmlns:ds="http://schemas.openxmlformats.org/officeDocument/2006/customXml" ds:itemID="{409E27FB-4315-474A-9024-A3E36F88D79F}"/>
</file>

<file path=customXml/itemProps3.xml><?xml version="1.0" encoding="utf-8"?>
<ds:datastoreItem xmlns:ds="http://schemas.openxmlformats.org/officeDocument/2006/customXml" ds:itemID="{C2792B97-CE1F-473F-9DEF-FD3C3B24D046}"/>
</file>

<file path=customXml/itemProps4.xml><?xml version="1.0" encoding="utf-8"?>
<ds:datastoreItem xmlns:ds="http://schemas.openxmlformats.org/officeDocument/2006/customXml" ds:itemID="{CD7907C1-CB4A-4825-9BE9-D0805B20E94E}"/>
</file>

<file path=docProps/app.xml><?xml version="1.0" encoding="utf-8"?>
<Properties xmlns="http://schemas.openxmlformats.org/officeDocument/2006/extended-properties" xmlns:vt="http://schemas.openxmlformats.org/officeDocument/2006/docPropsVTypes">
  <Template>Normal</Template>
  <TotalTime>5</TotalTime>
  <Pages>8</Pages>
  <Words>1545</Words>
  <Characters>8503</Characters>
  <Application>Microsoft Office Word</Application>
  <DocSecurity>0</DocSecurity>
  <Lines>70</Lines>
  <Paragraphs>20</Paragraphs>
  <ScaleCrop>false</ScaleCrop>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3</cp:revision>
  <dcterms:created xsi:type="dcterms:W3CDTF">2018-10-11T10:01:00Z</dcterms:created>
  <dcterms:modified xsi:type="dcterms:W3CDTF">2018-11-08T12:39:00Z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