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9225D" w14:textId="77777777" w:rsidR="004F165C" w:rsidRDefault="004F165C" w:rsidP="004F165C">
      <w:pPr>
        <w:pStyle w:val="Heading2"/>
      </w:pPr>
      <w:bookmarkStart w:id="0" w:name="_Toc527021612"/>
      <w:r w:rsidRPr="007038E4">
        <w:t xml:space="preserve">Checklist </w:t>
      </w:r>
      <w:r>
        <w:t>Inspection interne</w:t>
      </w:r>
      <w:r w:rsidRPr="007038E4">
        <w:t xml:space="preserve"> du dossier</w:t>
      </w:r>
      <w:bookmarkEnd w:id="0"/>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4F165C" w:rsidRPr="007038E4" w14:paraId="1C1A6BBA" w14:textId="77777777" w:rsidTr="00475E8B">
        <w:tc>
          <w:tcPr>
            <w:tcW w:w="1800" w:type="dxa"/>
            <w:shd w:val="clear" w:color="auto" w:fill="auto"/>
            <w:vAlign w:val="center"/>
          </w:tcPr>
          <w:p w14:paraId="56883010" w14:textId="77777777" w:rsidR="004F165C" w:rsidRPr="007038E4" w:rsidRDefault="004F165C" w:rsidP="00475E8B">
            <w:pPr>
              <w:spacing w:before="40" w:after="0" w:line="240" w:lineRule="auto"/>
              <w:jc w:val="both"/>
              <w:outlineLvl w:val="2"/>
              <w:rPr>
                <w:rFonts w:eastAsia="Calibri"/>
                <w:lang w:eastAsia="fr-BE"/>
              </w:rPr>
            </w:pPr>
            <w:r w:rsidRPr="007038E4">
              <w:rPr>
                <w:rFonts w:eastAsia="Calibri"/>
                <w:lang w:eastAsia="fr-BE"/>
              </w:rPr>
              <w:t>Nom du client</w:t>
            </w:r>
          </w:p>
        </w:tc>
        <w:tc>
          <w:tcPr>
            <w:tcW w:w="2880" w:type="dxa"/>
            <w:shd w:val="clear" w:color="auto" w:fill="auto"/>
          </w:tcPr>
          <w:p w14:paraId="41A8AD54" w14:textId="77777777" w:rsidR="004F165C" w:rsidRPr="007038E4" w:rsidRDefault="004F165C" w:rsidP="00475E8B">
            <w:pPr>
              <w:spacing w:before="40" w:after="0" w:line="240" w:lineRule="auto"/>
              <w:jc w:val="both"/>
              <w:outlineLvl w:val="2"/>
              <w:rPr>
                <w:rFonts w:eastAsia="Calibri"/>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1" w:name="_Toc527020148"/>
            <w:bookmarkStart w:id="2" w:name="_Toc527021489"/>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1"/>
            <w:bookmarkEnd w:id="2"/>
            <w:r w:rsidRPr="007038E4">
              <w:rPr>
                <w:rFonts w:eastAsia="Times New Roman" w:cs="Times New Roman"/>
                <w:highlight w:val="yellow"/>
                <w:lang w:eastAsia="fr-BE"/>
              </w:rPr>
              <w:fldChar w:fldCharType="end"/>
            </w:r>
          </w:p>
        </w:tc>
        <w:tc>
          <w:tcPr>
            <w:tcW w:w="2160" w:type="dxa"/>
            <w:shd w:val="clear" w:color="auto" w:fill="auto"/>
            <w:vAlign w:val="center"/>
          </w:tcPr>
          <w:p w14:paraId="7F0E4F58" w14:textId="77777777" w:rsidR="004F165C" w:rsidRPr="007038E4" w:rsidRDefault="004F165C" w:rsidP="00475E8B">
            <w:pPr>
              <w:spacing w:before="40" w:after="0" w:line="240" w:lineRule="auto"/>
              <w:jc w:val="both"/>
              <w:outlineLvl w:val="2"/>
              <w:rPr>
                <w:rFonts w:eastAsia="Calibri"/>
                <w:lang w:eastAsia="fr-BE"/>
              </w:rPr>
            </w:pPr>
            <w:r w:rsidRPr="007038E4">
              <w:rPr>
                <w:rFonts w:eastAsia="Calibri"/>
                <w:lang w:eastAsia="fr-BE"/>
              </w:rPr>
              <w:t>Référence du dossier</w:t>
            </w:r>
          </w:p>
        </w:tc>
        <w:tc>
          <w:tcPr>
            <w:tcW w:w="2700" w:type="dxa"/>
            <w:shd w:val="clear" w:color="auto" w:fill="auto"/>
          </w:tcPr>
          <w:p w14:paraId="6306EF62" w14:textId="77777777" w:rsidR="004F165C" w:rsidRPr="007038E4" w:rsidRDefault="004F165C" w:rsidP="00475E8B">
            <w:pPr>
              <w:spacing w:before="40" w:after="0" w:line="240" w:lineRule="auto"/>
              <w:jc w:val="both"/>
              <w:outlineLvl w:val="2"/>
              <w:rPr>
                <w:rFonts w:eastAsia="Calibri"/>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3" w:name="_Toc527020150"/>
            <w:bookmarkStart w:id="4" w:name="_Toc527021491"/>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3"/>
            <w:bookmarkEnd w:id="4"/>
            <w:r w:rsidRPr="007038E4">
              <w:rPr>
                <w:rFonts w:eastAsia="Times New Roman" w:cs="Times New Roman"/>
                <w:highlight w:val="yellow"/>
                <w:lang w:eastAsia="fr-BE"/>
              </w:rPr>
              <w:fldChar w:fldCharType="end"/>
            </w:r>
          </w:p>
        </w:tc>
      </w:tr>
      <w:tr w:rsidR="004F165C" w:rsidRPr="007038E4" w14:paraId="74F1D687" w14:textId="77777777" w:rsidTr="00475E8B">
        <w:tc>
          <w:tcPr>
            <w:tcW w:w="1800" w:type="dxa"/>
            <w:shd w:val="clear" w:color="auto" w:fill="auto"/>
            <w:vAlign w:val="center"/>
          </w:tcPr>
          <w:p w14:paraId="3CA39257" w14:textId="77777777" w:rsidR="004F165C" w:rsidRPr="007038E4" w:rsidRDefault="004F165C" w:rsidP="00475E8B">
            <w:pPr>
              <w:spacing w:before="40" w:after="0" w:line="240" w:lineRule="auto"/>
              <w:jc w:val="both"/>
              <w:outlineLvl w:val="2"/>
              <w:rPr>
                <w:rFonts w:eastAsia="Calibri"/>
                <w:lang w:eastAsia="fr-BE"/>
              </w:rPr>
            </w:pPr>
            <w:r w:rsidRPr="007038E4">
              <w:rPr>
                <w:rFonts w:eastAsia="Calibri"/>
                <w:lang w:eastAsia="fr-BE"/>
              </w:rPr>
              <w:t>Référence client</w:t>
            </w:r>
          </w:p>
        </w:tc>
        <w:tc>
          <w:tcPr>
            <w:tcW w:w="2880" w:type="dxa"/>
            <w:shd w:val="clear" w:color="auto" w:fill="auto"/>
          </w:tcPr>
          <w:p w14:paraId="6A31F04A" w14:textId="77777777" w:rsidR="004F165C" w:rsidRPr="005F283D" w:rsidRDefault="004F165C" w:rsidP="00475E8B">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5" w:name="_Toc527020152"/>
            <w:bookmarkStart w:id="6" w:name="_Toc527021493"/>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5"/>
            <w:bookmarkEnd w:id="6"/>
            <w:r w:rsidRPr="007038E4">
              <w:rPr>
                <w:rFonts w:eastAsia="Times New Roman" w:cs="Times New Roman"/>
                <w:highlight w:val="yellow"/>
                <w:lang w:eastAsia="fr-BE"/>
              </w:rPr>
              <w:fldChar w:fldCharType="end"/>
            </w:r>
          </w:p>
        </w:tc>
        <w:tc>
          <w:tcPr>
            <w:tcW w:w="2160" w:type="dxa"/>
            <w:shd w:val="clear" w:color="auto" w:fill="auto"/>
            <w:vAlign w:val="center"/>
          </w:tcPr>
          <w:p w14:paraId="18DC3B2D" w14:textId="77777777" w:rsidR="004F165C" w:rsidRPr="005F283D" w:rsidRDefault="004F165C" w:rsidP="00475E8B">
            <w:pPr>
              <w:spacing w:before="40" w:after="0" w:line="240" w:lineRule="auto"/>
              <w:jc w:val="both"/>
              <w:outlineLvl w:val="2"/>
              <w:rPr>
                <w:rFonts w:eastAsia="Calibri"/>
              </w:rPr>
            </w:pPr>
            <w:r w:rsidRPr="007038E4">
              <w:rPr>
                <w:rFonts w:eastAsia="Calibri"/>
                <w:lang w:eastAsia="fr-BE"/>
              </w:rPr>
              <w:t>Exercice</w:t>
            </w:r>
          </w:p>
        </w:tc>
        <w:tc>
          <w:tcPr>
            <w:tcW w:w="2700" w:type="dxa"/>
            <w:shd w:val="clear" w:color="auto" w:fill="auto"/>
          </w:tcPr>
          <w:p w14:paraId="53D6DD3A" w14:textId="77777777" w:rsidR="004F165C" w:rsidRPr="005F283D" w:rsidRDefault="004F165C" w:rsidP="00475E8B">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7" w:name="_Toc527020154"/>
            <w:bookmarkStart w:id="8" w:name="_Toc527021495"/>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7"/>
            <w:bookmarkEnd w:id="8"/>
            <w:r w:rsidRPr="007038E4">
              <w:rPr>
                <w:rFonts w:eastAsia="Times New Roman" w:cs="Times New Roman"/>
                <w:highlight w:val="yellow"/>
                <w:lang w:eastAsia="fr-BE"/>
              </w:rPr>
              <w:fldChar w:fldCharType="end"/>
            </w:r>
          </w:p>
        </w:tc>
      </w:tr>
      <w:tr w:rsidR="004F165C" w:rsidRPr="007038E4" w14:paraId="41CAFF67" w14:textId="77777777" w:rsidTr="00475E8B">
        <w:tc>
          <w:tcPr>
            <w:tcW w:w="1800" w:type="dxa"/>
            <w:shd w:val="clear" w:color="auto" w:fill="auto"/>
            <w:vAlign w:val="center"/>
          </w:tcPr>
          <w:p w14:paraId="7CBFFEC9" w14:textId="77777777" w:rsidR="004F165C" w:rsidRPr="005F283D" w:rsidRDefault="004F165C" w:rsidP="00475E8B">
            <w:pPr>
              <w:spacing w:before="40" w:after="0" w:line="240" w:lineRule="auto"/>
              <w:jc w:val="both"/>
              <w:outlineLvl w:val="2"/>
              <w:rPr>
                <w:rFonts w:eastAsia="Calibri"/>
              </w:rPr>
            </w:pPr>
            <w:r w:rsidRPr="007038E4">
              <w:rPr>
                <w:rFonts w:eastAsia="Calibri"/>
                <w:lang w:eastAsia="fr-BE"/>
              </w:rPr>
              <w:t>Collaborateur</w:t>
            </w:r>
          </w:p>
        </w:tc>
        <w:tc>
          <w:tcPr>
            <w:tcW w:w="2880" w:type="dxa"/>
            <w:shd w:val="clear" w:color="auto" w:fill="auto"/>
          </w:tcPr>
          <w:p w14:paraId="6C9E6E10" w14:textId="77777777" w:rsidR="004F165C" w:rsidRPr="005F283D" w:rsidRDefault="004F165C" w:rsidP="00475E8B">
            <w:pPr>
              <w:spacing w:before="40" w:after="0" w:line="240" w:lineRule="auto"/>
              <w:jc w:val="both"/>
              <w:outlineLvl w:val="2"/>
              <w:rPr>
                <w:rFonts w:eastAsia="Calibri"/>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9" w:name="_Toc527020156"/>
            <w:bookmarkStart w:id="10" w:name="_Toc527021497"/>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9"/>
            <w:bookmarkEnd w:id="10"/>
            <w:r w:rsidRPr="007038E4">
              <w:rPr>
                <w:rFonts w:eastAsia="Times New Roman" w:cs="Times New Roman"/>
                <w:highlight w:val="yellow"/>
                <w:lang w:eastAsia="fr-BE"/>
              </w:rPr>
              <w:fldChar w:fldCharType="end"/>
            </w:r>
          </w:p>
        </w:tc>
        <w:tc>
          <w:tcPr>
            <w:tcW w:w="2160" w:type="dxa"/>
            <w:shd w:val="clear" w:color="auto" w:fill="auto"/>
            <w:vAlign w:val="center"/>
          </w:tcPr>
          <w:p w14:paraId="14F13E32" w14:textId="77777777" w:rsidR="004F165C" w:rsidRPr="005F283D" w:rsidRDefault="004F165C" w:rsidP="00475E8B">
            <w:pPr>
              <w:spacing w:before="40" w:after="0" w:line="240" w:lineRule="auto"/>
              <w:jc w:val="both"/>
              <w:outlineLvl w:val="2"/>
              <w:rPr>
                <w:rFonts w:eastAsia="Calibri"/>
              </w:rPr>
            </w:pPr>
            <w:r w:rsidRPr="007038E4">
              <w:rPr>
                <w:rFonts w:eastAsia="Calibri"/>
                <w:lang w:eastAsia="fr-BE"/>
              </w:rPr>
              <w:t>Date</w:t>
            </w:r>
          </w:p>
        </w:tc>
        <w:tc>
          <w:tcPr>
            <w:tcW w:w="2700" w:type="dxa"/>
            <w:shd w:val="clear" w:color="auto" w:fill="auto"/>
          </w:tcPr>
          <w:p w14:paraId="05EBCAAD" w14:textId="77777777" w:rsidR="004F165C" w:rsidRPr="005F283D" w:rsidRDefault="004F165C" w:rsidP="00475E8B">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11" w:name="_Toc527020158"/>
            <w:bookmarkStart w:id="12" w:name="_Toc527021499"/>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11"/>
            <w:bookmarkEnd w:id="12"/>
            <w:r w:rsidRPr="007038E4">
              <w:rPr>
                <w:rFonts w:eastAsia="Times New Roman" w:cs="Times New Roman"/>
                <w:highlight w:val="yellow"/>
                <w:lang w:eastAsia="fr-BE"/>
              </w:rPr>
              <w:fldChar w:fldCharType="end"/>
            </w:r>
          </w:p>
        </w:tc>
      </w:tr>
      <w:tr w:rsidR="004F165C" w:rsidRPr="007038E4" w14:paraId="7BDABE5C" w14:textId="77777777" w:rsidTr="00475E8B">
        <w:tc>
          <w:tcPr>
            <w:tcW w:w="1800" w:type="dxa"/>
            <w:shd w:val="clear" w:color="auto" w:fill="auto"/>
            <w:vAlign w:val="center"/>
          </w:tcPr>
          <w:p w14:paraId="23B4E0DF" w14:textId="77777777" w:rsidR="004F165C" w:rsidRPr="005F283D" w:rsidRDefault="004F165C" w:rsidP="00475E8B">
            <w:pPr>
              <w:spacing w:before="40" w:after="0" w:line="240" w:lineRule="auto"/>
              <w:jc w:val="both"/>
              <w:outlineLvl w:val="2"/>
              <w:rPr>
                <w:rFonts w:eastAsia="Calibri"/>
              </w:rPr>
            </w:pPr>
            <w:r w:rsidRPr="007038E4">
              <w:rPr>
                <w:rFonts w:eastAsia="Calibri"/>
                <w:lang w:eastAsia="fr-BE"/>
              </w:rPr>
              <w:t>Associé</w:t>
            </w:r>
          </w:p>
        </w:tc>
        <w:tc>
          <w:tcPr>
            <w:tcW w:w="2880" w:type="dxa"/>
            <w:shd w:val="clear" w:color="auto" w:fill="auto"/>
          </w:tcPr>
          <w:p w14:paraId="6D23854E" w14:textId="77777777" w:rsidR="004F165C" w:rsidRPr="005F283D" w:rsidRDefault="004F165C" w:rsidP="00475E8B">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13" w:name="_Toc527020160"/>
            <w:bookmarkStart w:id="14" w:name="_Toc527021501"/>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13"/>
            <w:bookmarkEnd w:id="14"/>
            <w:r w:rsidRPr="007038E4">
              <w:rPr>
                <w:rFonts w:eastAsia="Times New Roman" w:cs="Times New Roman"/>
                <w:highlight w:val="yellow"/>
                <w:lang w:eastAsia="fr-BE"/>
              </w:rPr>
              <w:fldChar w:fldCharType="end"/>
            </w:r>
          </w:p>
        </w:tc>
        <w:tc>
          <w:tcPr>
            <w:tcW w:w="2160" w:type="dxa"/>
            <w:shd w:val="clear" w:color="auto" w:fill="auto"/>
            <w:vAlign w:val="center"/>
          </w:tcPr>
          <w:p w14:paraId="06BDE751" w14:textId="77777777" w:rsidR="004F165C" w:rsidRPr="005F283D" w:rsidRDefault="004F165C" w:rsidP="00475E8B">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15" w:name="_Toc527020161"/>
            <w:bookmarkStart w:id="16" w:name="_Toc527021502"/>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15"/>
            <w:bookmarkEnd w:id="16"/>
            <w:r w:rsidRPr="007038E4">
              <w:rPr>
                <w:rFonts w:eastAsia="Times New Roman" w:cs="Times New Roman"/>
                <w:highlight w:val="yellow"/>
                <w:lang w:eastAsia="fr-BE"/>
              </w:rPr>
              <w:fldChar w:fldCharType="end"/>
            </w:r>
          </w:p>
        </w:tc>
        <w:tc>
          <w:tcPr>
            <w:tcW w:w="2700" w:type="dxa"/>
            <w:shd w:val="clear" w:color="auto" w:fill="auto"/>
          </w:tcPr>
          <w:p w14:paraId="3E5FCA25" w14:textId="77777777" w:rsidR="004F165C" w:rsidRPr="005F283D" w:rsidRDefault="004F165C" w:rsidP="00475E8B">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17" w:name="_Toc527020162"/>
            <w:bookmarkStart w:id="18" w:name="_Toc527021503"/>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17"/>
            <w:bookmarkEnd w:id="18"/>
            <w:r w:rsidRPr="007038E4">
              <w:rPr>
                <w:rFonts w:eastAsia="Times New Roman" w:cs="Times New Roman"/>
                <w:highlight w:val="yellow"/>
                <w:lang w:eastAsia="fr-BE"/>
              </w:rPr>
              <w:fldChar w:fldCharType="end"/>
            </w:r>
          </w:p>
        </w:tc>
      </w:tr>
    </w:tbl>
    <w:p w14:paraId="11C5D639" w14:textId="77777777" w:rsidR="004F165C" w:rsidRPr="00E87278" w:rsidRDefault="004F165C" w:rsidP="004F165C"/>
    <w:tbl>
      <w:tblPr>
        <w:tblW w:w="93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087"/>
        <w:gridCol w:w="992"/>
        <w:gridCol w:w="1276"/>
      </w:tblGrid>
      <w:tr w:rsidR="004F165C" w:rsidRPr="007038E4" w14:paraId="47F848BD" w14:textId="77777777" w:rsidTr="00475E8B">
        <w:tc>
          <w:tcPr>
            <w:tcW w:w="3788" w:type="pct"/>
          </w:tcPr>
          <w:p w14:paraId="6DB7F37D" w14:textId="77777777" w:rsidR="004F165C" w:rsidRPr="007038E4" w:rsidRDefault="004F165C" w:rsidP="00475E8B">
            <w:pPr>
              <w:spacing w:after="0"/>
              <w:jc w:val="center"/>
              <w:rPr>
                <w:rFonts w:eastAsia="Times New Roman" w:cs="Times New Roman"/>
                <w:b/>
                <w:lang w:eastAsia="fr-BE"/>
              </w:rPr>
            </w:pPr>
            <w:r>
              <w:rPr>
                <w:rFonts w:eastAsia="Times New Roman" w:cs="Times New Roman"/>
                <w:b/>
                <w:lang w:eastAsia="fr-BE"/>
              </w:rPr>
              <w:t>Inspection</w:t>
            </w:r>
            <w:r w:rsidRPr="007038E4">
              <w:rPr>
                <w:rFonts w:eastAsia="Times New Roman" w:cs="Times New Roman"/>
                <w:b/>
                <w:lang w:eastAsia="fr-BE"/>
              </w:rPr>
              <w:t xml:space="preserve"> de dossiers individuels</w:t>
            </w:r>
          </w:p>
        </w:tc>
        <w:tc>
          <w:tcPr>
            <w:tcW w:w="530" w:type="pct"/>
          </w:tcPr>
          <w:p w14:paraId="4504F7BF" w14:textId="77777777" w:rsidR="004F165C" w:rsidRPr="007038E4" w:rsidRDefault="004F165C" w:rsidP="00475E8B">
            <w:pPr>
              <w:spacing w:after="0"/>
              <w:jc w:val="center"/>
              <w:rPr>
                <w:rFonts w:eastAsia="Times New Roman" w:cs="Times New Roman"/>
                <w:b/>
                <w:sz w:val="18"/>
                <w:lang w:eastAsia="fr-BE"/>
              </w:rPr>
            </w:pPr>
            <w:r w:rsidRPr="007038E4">
              <w:rPr>
                <w:rFonts w:eastAsia="Times New Roman" w:cs="Times New Roman"/>
                <w:b/>
                <w:sz w:val="18"/>
                <w:lang w:eastAsia="fr-BE"/>
              </w:rPr>
              <w:t>Oui/Non/Pas d’appli-cation</w:t>
            </w:r>
          </w:p>
        </w:tc>
        <w:tc>
          <w:tcPr>
            <w:tcW w:w="682" w:type="pct"/>
          </w:tcPr>
          <w:p w14:paraId="6AA1459B" w14:textId="77777777" w:rsidR="004F165C" w:rsidRPr="007038E4" w:rsidRDefault="004F165C" w:rsidP="00475E8B">
            <w:pPr>
              <w:spacing w:after="0"/>
              <w:jc w:val="center"/>
              <w:rPr>
                <w:rFonts w:eastAsia="Times New Roman" w:cs="Times New Roman"/>
                <w:b/>
                <w:sz w:val="18"/>
                <w:lang w:eastAsia="fr-BE"/>
              </w:rPr>
            </w:pPr>
            <w:r w:rsidRPr="007038E4">
              <w:rPr>
                <w:rFonts w:eastAsia="Times New Roman" w:cs="Times New Roman"/>
                <w:b/>
                <w:sz w:val="18"/>
                <w:lang w:eastAsia="fr-BE"/>
              </w:rPr>
              <w:t>Description document de travail de référence</w:t>
            </w:r>
          </w:p>
        </w:tc>
      </w:tr>
      <w:tr w:rsidR="004F165C" w:rsidRPr="007038E4" w14:paraId="4D0C88FE" w14:textId="77777777" w:rsidTr="00475E8B">
        <w:tc>
          <w:tcPr>
            <w:tcW w:w="3788" w:type="pct"/>
          </w:tcPr>
          <w:p w14:paraId="1B0B570D"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rFonts w:eastAsia="Times New Roman" w:cs="Times New Roman"/>
                <w:lang w:eastAsia="fr-BE"/>
              </w:rPr>
              <w:t>La personne qui exécut</w:t>
            </w:r>
            <w:r>
              <w:rPr>
                <w:rFonts w:eastAsia="Times New Roman" w:cs="Times New Roman"/>
                <w:lang w:eastAsia="fr-BE"/>
              </w:rPr>
              <w:t>e</w:t>
            </w:r>
            <w:r w:rsidRPr="007038E4">
              <w:rPr>
                <w:rFonts w:eastAsia="Times New Roman" w:cs="Times New Roman"/>
                <w:lang w:eastAsia="fr-BE"/>
              </w:rPr>
              <w:t xml:space="preserve"> </w:t>
            </w:r>
            <w:r>
              <w:rPr>
                <w:rFonts w:eastAsia="Times New Roman" w:cs="Times New Roman"/>
                <w:lang w:eastAsia="fr-BE"/>
              </w:rPr>
              <w:t>l’inspection</w:t>
            </w:r>
            <w:r w:rsidRPr="007038E4">
              <w:rPr>
                <w:rFonts w:eastAsia="Times New Roman" w:cs="Times New Roman"/>
                <w:lang w:eastAsia="fr-BE"/>
              </w:rPr>
              <w:t xml:space="preserve"> ne fa</w:t>
            </w:r>
            <w:r>
              <w:rPr>
                <w:rFonts w:eastAsia="Times New Roman" w:cs="Times New Roman"/>
                <w:lang w:eastAsia="fr-BE"/>
              </w:rPr>
              <w:t>i</w:t>
            </w:r>
            <w:r w:rsidRPr="007038E4">
              <w:rPr>
                <w:rFonts w:eastAsia="Times New Roman" w:cs="Times New Roman"/>
                <w:lang w:eastAsia="fr-BE"/>
              </w:rPr>
              <w:t xml:space="preserve">t pas partie de l’équipe d’audit ni n’est </w:t>
            </w:r>
            <w:r>
              <w:rPr>
                <w:rFonts w:eastAsia="Times New Roman" w:cs="Times New Roman"/>
                <w:lang w:eastAsia="fr-BE"/>
              </w:rPr>
              <w:t>l’EQCR</w:t>
            </w:r>
            <w:r w:rsidRPr="007038E4">
              <w:rPr>
                <w:rFonts w:eastAsia="Times New Roman" w:cs="Times New Roman"/>
                <w:lang w:eastAsia="fr-BE"/>
              </w:rPr>
              <w:t xml:space="preserve"> au sein du cabinet de révision.</w:t>
            </w:r>
          </w:p>
        </w:tc>
        <w:tc>
          <w:tcPr>
            <w:tcW w:w="530" w:type="pct"/>
          </w:tcPr>
          <w:p w14:paraId="1D173FC7" w14:textId="77777777" w:rsidR="004F165C" w:rsidRPr="007038E4" w:rsidRDefault="004F165C" w:rsidP="00475E8B">
            <w:pPr>
              <w:spacing w:after="0"/>
              <w:jc w:val="both"/>
              <w:rPr>
                <w:rFonts w:eastAsia="Times New Roman" w:cs="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1FF675A9" w14:textId="77777777" w:rsidR="004F165C" w:rsidRPr="007038E4" w:rsidRDefault="004F165C" w:rsidP="00475E8B">
            <w:pPr>
              <w:spacing w:after="0"/>
              <w:jc w:val="both"/>
              <w:rPr>
                <w:rFonts w:eastAsia="Times New Roman" w:cs="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4906934B" w14:textId="77777777" w:rsidTr="00475E8B">
        <w:tc>
          <w:tcPr>
            <w:tcW w:w="3788" w:type="pct"/>
          </w:tcPr>
          <w:p w14:paraId="74F065BE"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rFonts w:eastAsia="Times New Roman" w:cs="Times New Roman"/>
                <w:lang w:eastAsia="fr-BE"/>
              </w:rPr>
              <w:t>L’application de la législation sur le blanchiment et l’établissement de ses activités, concernant le contrôle de l’identification exhaustive et correcte des clients. Le rapport semble-t-il approprié au vu des circonstances ?</w:t>
            </w:r>
          </w:p>
        </w:tc>
        <w:tc>
          <w:tcPr>
            <w:tcW w:w="530" w:type="pct"/>
          </w:tcPr>
          <w:p w14:paraId="457C1253"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43D7CDFF"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2088D6A4" w14:textId="77777777" w:rsidTr="00475E8B">
        <w:tc>
          <w:tcPr>
            <w:tcW w:w="3788" w:type="pct"/>
          </w:tcPr>
          <w:p w14:paraId="1C4D6E0E"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t>Revoir les états financiers ou autres objets considérés.</w:t>
            </w:r>
          </w:p>
        </w:tc>
        <w:tc>
          <w:tcPr>
            <w:tcW w:w="530" w:type="pct"/>
          </w:tcPr>
          <w:p w14:paraId="6183BF57"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1650458C"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6819C1AA" w14:textId="77777777" w:rsidTr="00475E8B">
        <w:tc>
          <w:tcPr>
            <w:tcW w:w="3788" w:type="pct"/>
          </w:tcPr>
          <w:p w14:paraId="3C9F0FB2" w14:textId="77777777" w:rsidR="004F165C" w:rsidRPr="007038E4" w:rsidRDefault="004F165C" w:rsidP="004F165C">
            <w:pPr>
              <w:numPr>
                <w:ilvl w:val="1"/>
                <w:numId w:val="1"/>
              </w:numPr>
              <w:spacing w:after="0"/>
              <w:ind w:left="320" w:hanging="289"/>
              <w:jc w:val="both"/>
              <w:rPr>
                <w:szCs w:val="18"/>
              </w:rPr>
            </w:pPr>
            <w:r>
              <w:rPr>
                <w:rFonts w:eastAsia="Calibri"/>
              </w:rPr>
              <w:t>Evaluez l'analyse de risque réalisée par l’équipe de mission.</w:t>
            </w:r>
          </w:p>
        </w:tc>
        <w:tc>
          <w:tcPr>
            <w:tcW w:w="530" w:type="pct"/>
          </w:tcPr>
          <w:p w14:paraId="3D29E965" w14:textId="77777777" w:rsidR="004F165C" w:rsidRPr="007038E4"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0BEB9758" w14:textId="77777777" w:rsidR="004F165C" w:rsidRPr="007038E4"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4D3CD4A2" w14:textId="77777777" w:rsidTr="00475E8B">
        <w:tc>
          <w:tcPr>
            <w:tcW w:w="3788" w:type="pct"/>
          </w:tcPr>
          <w:p w14:paraId="3F278786" w14:textId="77777777" w:rsidR="004F165C" w:rsidRPr="007038E4" w:rsidRDefault="004F165C" w:rsidP="004F165C">
            <w:pPr>
              <w:numPr>
                <w:ilvl w:val="1"/>
                <w:numId w:val="1"/>
              </w:numPr>
              <w:spacing w:after="0"/>
              <w:ind w:left="320" w:hanging="289"/>
              <w:jc w:val="both"/>
              <w:rPr>
                <w:szCs w:val="18"/>
              </w:rPr>
            </w:pPr>
            <w:r>
              <w:rPr>
                <w:rFonts w:eastAsia="Calibri"/>
              </w:rPr>
              <w:t>Evaluez la détermination des seuils de signification et de planification. Assurez-vous que ceux-ci ont été établis en tenant compte de l’influence des risques spécifiques mis en exergue par l’analyse des risques.</w:t>
            </w:r>
          </w:p>
        </w:tc>
        <w:tc>
          <w:tcPr>
            <w:tcW w:w="530" w:type="pct"/>
          </w:tcPr>
          <w:p w14:paraId="6A8707AE" w14:textId="77777777" w:rsidR="004F165C" w:rsidRPr="007038E4"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593E7C8B" w14:textId="77777777" w:rsidR="004F165C" w:rsidRPr="007038E4"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4BE7AF23" w14:textId="77777777" w:rsidTr="00475E8B">
        <w:tc>
          <w:tcPr>
            <w:tcW w:w="3788" w:type="pct"/>
          </w:tcPr>
          <w:p w14:paraId="31B63986" w14:textId="77777777" w:rsidR="004F165C" w:rsidRPr="00060CD1" w:rsidRDefault="004F165C" w:rsidP="004F165C">
            <w:pPr>
              <w:numPr>
                <w:ilvl w:val="1"/>
                <w:numId w:val="1"/>
              </w:numPr>
              <w:spacing w:after="0"/>
              <w:ind w:left="320" w:hanging="289"/>
              <w:jc w:val="both"/>
              <w:rPr>
                <w:szCs w:val="18"/>
              </w:rPr>
            </w:pPr>
            <w:r>
              <w:rPr>
                <w:rFonts w:eastAsia="Calibri"/>
              </w:rPr>
              <w:t xml:space="preserve">Lisez les notes relatives à la concertation liée à la fraude (notes séparées ou inclues dans </w:t>
            </w:r>
            <w:r>
              <w:t>les discussions/entretiens avec l'équipe d'audit</w:t>
            </w:r>
            <w:r>
              <w:rPr>
                <w:rFonts w:eastAsia="Calibri"/>
              </w:rPr>
              <w:t>). Assurez-vous que :</w:t>
            </w:r>
          </w:p>
          <w:p w14:paraId="36C98805" w14:textId="77777777" w:rsidR="004F165C" w:rsidRDefault="004F165C" w:rsidP="00475E8B">
            <w:pPr>
              <w:spacing w:after="0"/>
              <w:ind w:left="320"/>
              <w:jc w:val="both"/>
              <w:rPr>
                <w:szCs w:val="18"/>
              </w:rPr>
            </w:pPr>
            <w:r w:rsidRPr="00E627E3">
              <w:rPr>
                <w:szCs w:val="18"/>
              </w:rPr>
              <w:t>•</w:t>
            </w:r>
            <w:r w:rsidRPr="00E627E3">
              <w:rPr>
                <w:szCs w:val="18"/>
              </w:rPr>
              <w:tab/>
              <w:t>les risques les plus significatifs ont été clai</w:t>
            </w:r>
            <w:r>
              <w:rPr>
                <w:szCs w:val="18"/>
              </w:rPr>
              <w:t xml:space="preserve">rement identifiés et décrits ; </w:t>
            </w:r>
          </w:p>
          <w:p w14:paraId="6C740673" w14:textId="77777777" w:rsidR="004F165C" w:rsidRDefault="004F165C" w:rsidP="00475E8B">
            <w:pPr>
              <w:spacing w:after="0"/>
              <w:ind w:left="320"/>
              <w:jc w:val="both"/>
              <w:rPr>
                <w:szCs w:val="18"/>
              </w:rPr>
            </w:pPr>
            <w:r w:rsidRPr="00E627E3">
              <w:rPr>
                <w:szCs w:val="18"/>
              </w:rPr>
              <w:t>•</w:t>
            </w:r>
            <w:r w:rsidRPr="00E627E3">
              <w:rPr>
                <w:szCs w:val="18"/>
              </w:rPr>
              <w:tab/>
              <w:t>les travaux à effectuer et les points d’attention particuliers on</w:t>
            </w:r>
            <w:r>
              <w:rPr>
                <w:szCs w:val="18"/>
              </w:rPr>
              <w:t xml:space="preserve">t été clairement communiqués ; </w:t>
            </w:r>
          </w:p>
          <w:p w14:paraId="3A28536D" w14:textId="77777777" w:rsidR="004F165C" w:rsidRPr="007038E4" w:rsidRDefault="004F165C" w:rsidP="00475E8B">
            <w:pPr>
              <w:spacing w:after="0"/>
              <w:ind w:left="320"/>
              <w:jc w:val="both"/>
              <w:rPr>
                <w:szCs w:val="18"/>
              </w:rPr>
            </w:pPr>
            <w:r w:rsidRPr="00E627E3">
              <w:rPr>
                <w:szCs w:val="18"/>
              </w:rPr>
              <w:t>•</w:t>
            </w:r>
            <w:r w:rsidRPr="00E627E3">
              <w:rPr>
                <w:szCs w:val="18"/>
              </w:rPr>
              <w:tab/>
              <w:t>les conclusions des travaux effectués ont été communiquées.</w:t>
            </w:r>
          </w:p>
        </w:tc>
        <w:tc>
          <w:tcPr>
            <w:tcW w:w="530" w:type="pct"/>
          </w:tcPr>
          <w:p w14:paraId="38155AEF" w14:textId="77777777" w:rsidR="004F165C" w:rsidRDefault="004F165C" w:rsidP="00475E8B">
            <w:pPr>
              <w:spacing w:after="0"/>
              <w:jc w:val="both"/>
              <w:rPr>
                <w:rFonts w:eastAsia="Times New Roman"/>
                <w:highlight w:val="yellow"/>
                <w:lang w:eastAsia="fr-BE"/>
              </w:rPr>
            </w:pPr>
          </w:p>
          <w:p w14:paraId="264E509A" w14:textId="77777777" w:rsidR="004F165C" w:rsidRDefault="004F165C" w:rsidP="00475E8B">
            <w:pPr>
              <w:spacing w:after="0"/>
              <w:jc w:val="both"/>
              <w:rPr>
                <w:rFonts w:eastAsia="Times New Roman"/>
                <w:highlight w:val="yellow"/>
                <w:lang w:eastAsia="fr-BE"/>
              </w:rPr>
            </w:pPr>
          </w:p>
          <w:p w14:paraId="2576EC41" w14:textId="77777777" w:rsidR="004F165C" w:rsidRDefault="004F165C" w:rsidP="00475E8B">
            <w:pPr>
              <w:spacing w:after="0"/>
              <w:jc w:val="both"/>
              <w:rPr>
                <w:rFonts w:eastAsia="Times New Roman"/>
                <w:highlight w:val="yellow"/>
                <w:lang w:eastAsia="fr-BE"/>
              </w:rPr>
            </w:pPr>
          </w:p>
          <w:p w14:paraId="5E5237F4" w14:textId="77777777" w:rsidR="004F165C"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p w14:paraId="13396A47" w14:textId="77777777" w:rsidR="004F165C" w:rsidRDefault="004F165C" w:rsidP="00475E8B">
            <w:pPr>
              <w:spacing w:after="0"/>
              <w:jc w:val="both"/>
              <w:rPr>
                <w:rFonts w:eastAsia="Times New Roman"/>
                <w:highlight w:val="yellow"/>
                <w:lang w:eastAsia="fr-BE"/>
              </w:rPr>
            </w:pPr>
          </w:p>
          <w:p w14:paraId="1CAEE915" w14:textId="77777777" w:rsidR="004F165C"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p w14:paraId="7D308272" w14:textId="77777777" w:rsidR="004F165C" w:rsidRDefault="004F165C" w:rsidP="00475E8B">
            <w:pPr>
              <w:spacing w:after="0"/>
              <w:jc w:val="both"/>
              <w:rPr>
                <w:rFonts w:eastAsia="Times New Roman"/>
                <w:highlight w:val="yellow"/>
                <w:lang w:eastAsia="fr-BE"/>
              </w:rPr>
            </w:pPr>
          </w:p>
          <w:p w14:paraId="49095BFB" w14:textId="77777777" w:rsidR="004F165C" w:rsidRPr="007038E4"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071A7CBC" w14:textId="77777777" w:rsidR="004F165C" w:rsidRDefault="004F165C" w:rsidP="00475E8B">
            <w:pPr>
              <w:spacing w:after="0"/>
              <w:jc w:val="both"/>
              <w:rPr>
                <w:rFonts w:eastAsia="Times New Roman"/>
                <w:highlight w:val="yellow"/>
                <w:lang w:eastAsia="fr-BE"/>
              </w:rPr>
            </w:pPr>
          </w:p>
          <w:p w14:paraId="1E2FF5E4" w14:textId="77777777" w:rsidR="004F165C" w:rsidRDefault="004F165C" w:rsidP="00475E8B">
            <w:pPr>
              <w:spacing w:after="0"/>
              <w:jc w:val="both"/>
              <w:rPr>
                <w:rFonts w:eastAsia="Times New Roman"/>
                <w:highlight w:val="yellow"/>
                <w:lang w:eastAsia="fr-BE"/>
              </w:rPr>
            </w:pPr>
          </w:p>
          <w:p w14:paraId="30F8EB25" w14:textId="77777777" w:rsidR="004F165C" w:rsidRDefault="004F165C" w:rsidP="00475E8B">
            <w:pPr>
              <w:spacing w:after="0"/>
              <w:jc w:val="both"/>
              <w:rPr>
                <w:rFonts w:eastAsia="Times New Roman"/>
                <w:highlight w:val="yellow"/>
                <w:lang w:eastAsia="fr-BE"/>
              </w:rPr>
            </w:pPr>
          </w:p>
          <w:p w14:paraId="5861B093" w14:textId="77777777" w:rsidR="004F165C"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p w14:paraId="36BFD1D7" w14:textId="77777777" w:rsidR="004F165C" w:rsidRDefault="004F165C" w:rsidP="00475E8B">
            <w:pPr>
              <w:spacing w:after="0"/>
              <w:jc w:val="both"/>
              <w:rPr>
                <w:rFonts w:eastAsia="Times New Roman"/>
                <w:highlight w:val="yellow"/>
                <w:lang w:eastAsia="fr-BE"/>
              </w:rPr>
            </w:pPr>
          </w:p>
          <w:p w14:paraId="77E20828" w14:textId="77777777" w:rsidR="004F165C"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p w14:paraId="355FEBAE" w14:textId="77777777" w:rsidR="004F165C" w:rsidRDefault="004F165C" w:rsidP="00475E8B">
            <w:pPr>
              <w:spacing w:after="0"/>
              <w:jc w:val="both"/>
              <w:rPr>
                <w:rFonts w:eastAsia="Times New Roman"/>
                <w:highlight w:val="yellow"/>
                <w:lang w:eastAsia="fr-BE"/>
              </w:rPr>
            </w:pPr>
          </w:p>
          <w:p w14:paraId="3BE14382" w14:textId="77777777" w:rsidR="004F165C" w:rsidRPr="007038E4"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01151DB6" w14:textId="77777777" w:rsidTr="00475E8B">
        <w:tc>
          <w:tcPr>
            <w:tcW w:w="3788" w:type="pct"/>
          </w:tcPr>
          <w:p w14:paraId="1236B48C"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t>Dans le cas d’une mission d’audit, revoir les dossiers de travail où sont consignés les risques d’audit importants et la réponse du cabinet à l’égard de ces risques.</w:t>
            </w:r>
          </w:p>
        </w:tc>
        <w:tc>
          <w:tcPr>
            <w:tcW w:w="530" w:type="pct"/>
          </w:tcPr>
          <w:p w14:paraId="57B928BD"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755CB83E"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6D6F5D16" w14:textId="77777777" w:rsidTr="00475E8B">
        <w:tc>
          <w:tcPr>
            <w:tcW w:w="3788" w:type="pct"/>
          </w:tcPr>
          <w:p w14:paraId="222173E9"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t>Déterminer si les dossiers de travail choisis pour la revue reflètent le travail effectué à l’appui des jugements et des conclusions d’importance formulés.</w:t>
            </w:r>
          </w:p>
        </w:tc>
        <w:tc>
          <w:tcPr>
            <w:tcW w:w="530" w:type="pct"/>
          </w:tcPr>
          <w:p w14:paraId="78686C3D"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590D4726"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1D3EC824" w14:textId="77777777" w:rsidTr="00475E8B">
        <w:tc>
          <w:tcPr>
            <w:tcW w:w="3788" w:type="pct"/>
          </w:tcPr>
          <w:p w14:paraId="6452FE7D"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t>Revoir le rapport proposé et indiquer s’il est approprié dans les circonstances.</w:t>
            </w:r>
          </w:p>
        </w:tc>
        <w:tc>
          <w:tcPr>
            <w:tcW w:w="530" w:type="pct"/>
          </w:tcPr>
          <w:p w14:paraId="5EF9F805"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36ACC643"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7BBDACCE" w14:textId="77777777" w:rsidTr="00475E8B">
        <w:tc>
          <w:tcPr>
            <w:tcW w:w="3788" w:type="pct"/>
          </w:tcPr>
          <w:p w14:paraId="0C90D1B7"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t>Revoir la documentation pour y relever les preuves indiquant que les procédures d’acceptation (ou de maintien, le cas échéant) ont été mises en œuvre.</w:t>
            </w:r>
          </w:p>
        </w:tc>
        <w:tc>
          <w:tcPr>
            <w:tcW w:w="530" w:type="pct"/>
          </w:tcPr>
          <w:p w14:paraId="2ACA1BA5" w14:textId="77777777" w:rsidR="004F165C" w:rsidRPr="007038E4" w:rsidRDefault="004F165C" w:rsidP="00475E8B">
            <w:pPr>
              <w:spacing w:after="0"/>
              <w:jc w:val="both"/>
              <w:rPr>
                <w:rFonts w:eastAsia="Times New Roman"/>
                <w:highlight w:val="yellow"/>
                <w:lang w:eastAsia="fr-BE"/>
              </w:rPr>
            </w:pPr>
          </w:p>
        </w:tc>
        <w:tc>
          <w:tcPr>
            <w:tcW w:w="682" w:type="pct"/>
          </w:tcPr>
          <w:p w14:paraId="26934B54" w14:textId="77777777" w:rsidR="004F165C" w:rsidRPr="007038E4" w:rsidRDefault="004F165C" w:rsidP="00475E8B">
            <w:pPr>
              <w:spacing w:after="0"/>
              <w:jc w:val="both"/>
              <w:rPr>
                <w:rFonts w:eastAsia="Times New Roman"/>
                <w:highlight w:val="yellow"/>
                <w:lang w:eastAsia="fr-BE"/>
              </w:rPr>
            </w:pPr>
          </w:p>
        </w:tc>
      </w:tr>
      <w:tr w:rsidR="004F165C" w:rsidRPr="007038E4" w14:paraId="37417A98" w14:textId="77777777" w:rsidTr="00475E8B">
        <w:tc>
          <w:tcPr>
            <w:tcW w:w="3788" w:type="pct"/>
          </w:tcPr>
          <w:p w14:paraId="369B4C21"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t>Revoir les procédures d’évaluation lorsque l’on utilise le travail d’autres auditeurs ou experts-comptables.</w:t>
            </w:r>
          </w:p>
        </w:tc>
        <w:tc>
          <w:tcPr>
            <w:tcW w:w="530" w:type="pct"/>
          </w:tcPr>
          <w:p w14:paraId="7EC45A09"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4DBF197C"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18D8FE46" w14:textId="77777777" w:rsidTr="00475E8B">
        <w:tc>
          <w:tcPr>
            <w:tcW w:w="3788" w:type="pct"/>
          </w:tcPr>
          <w:p w14:paraId="6608FD2C"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t>Revoir les procédures relatives au respect de la législation pertinente, des exigences d’inscription à la cote le cas échéant et des critères (par exemple les IFRS).</w:t>
            </w:r>
          </w:p>
        </w:tc>
        <w:tc>
          <w:tcPr>
            <w:tcW w:w="530" w:type="pct"/>
          </w:tcPr>
          <w:p w14:paraId="01E566AB"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58A04DE4"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73F61D80" w14:textId="77777777" w:rsidTr="00475E8B">
        <w:tc>
          <w:tcPr>
            <w:tcW w:w="3788" w:type="pct"/>
          </w:tcPr>
          <w:p w14:paraId="579F70C3"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t>Revoir le caractère approprié de la sélection des membres de l’équipe de mission.</w:t>
            </w:r>
          </w:p>
        </w:tc>
        <w:tc>
          <w:tcPr>
            <w:tcW w:w="530" w:type="pct"/>
          </w:tcPr>
          <w:p w14:paraId="1AB5BE8F"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495C45FF"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3EF78CA2" w14:textId="77777777" w:rsidTr="00475E8B">
        <w:tc>
          <w:tcPr>
            <w:tcW w:w="3788" w:type="pct"/>
          </w:tcPr>
          <w:p w14:paraId="43D6BDD9"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t>Revoir la lettre de mission.</w:t>
            </w:r>
          </w:p>
        </w:tc>
        <w:tc>
          <w:tcPr>
            <w:tcW w:w="530" w:type="pct"/>
          </w:tcPr>
          <w:p w14:paraId="203DFB89"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04E7781C"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6157EF05" w14:textId="77777777" w:rsidTr="00475E8B">
        <w:tc>
          <w:tcPr>
            <w:tcW w:w="3788" w:type="pct"/>
          </w:tcPr>
          <w:p w14:paraId="39DB011D"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t>Revoir la lettre d’affirmation signée par la direction ou les responsables de la gouvernance.</w:t>
            </w:r>
          </w:p>
        </w:tc>
        <w:tc>
          <w:tcPr>
            <w:tcW w:w="530" w:type="pct"/>
          </w:tcPr>
          <w:p w14:paraId="21C67C58"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569D0865"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2AFE6164" w14:textId="77777777" w:rsidTr="00475E8B">
        <w:tc>
          <w:tcPr>
            <w:tcW w:w="3788" w:type="pct"/>
          </w:tcPr>
          <w:p w14:paraId="057974FA"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t>Revoir les conclusions concernant la continuité des activités.</w:t>
            </w:r>
          </w:p>
        </w:tc>
        <w:tc>
          <w:tcPr>
            <w:tcW w:w="530" w:type="pct"/>
          </w:tcPr>
          <w:p w14:paraId="1F894C5A"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7142CEA4"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108BF99A" w14:textId="77777777" w:rsidTr="00475E8B">
        <w:tc>
          <w:tcPr>
            <w:tcW w:w="3788" w:type="pct"/>
          </w:tcPr>
          <w:p w14:paraId="7BEAFDE2"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lastRenderedPageBreak/>
              <w:t>Revoir les preuves indiquant qu’une revue appropriée des dossiers de travail a été effectuée par les responsables de la mission d’assurance.</w:t>
            </w:r>
          </w:p>
        </w:tc>
        <w:tc>
          <w:tcPr>
            <w:tcW w:w="530" w:type="pct"/>
          </w:tcPr>
          <w:p w14:paraId="011ACF07"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7C84DFD5"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4EF3F3CF" w14:textId="77777777" w:rsidTr="00475E8B">
        <w:tc>
          <w:tcPr>
            <w:tcW w:w="3788" w:type="pct"/>
          </w:tcPr>
          <w:p w14:paraId="64F33454"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t>Revoir les autres rapports délivrés en relation avec la mission, comme les déclarations réglementaires des institutions financières.</w:t>
            </w:r>
          </w:p>
        </w:tc>
        <w:tc>
          <w:tcPr>
            <w:tcW w:w="530" w:type="pct"/>
          </w:tcPr>
          <w:p w14:paraId="612B5ADF"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574A0D7A"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08F24251" w14:textId="77777777" w:rsidTr="00475E8B">
        <w:tc>
          <w:tcPr>
            <w:tcW w:w="3788" w:type="pct"/>
          </w:tcPr>
          <w:p w14:paraId="7FDD3B04"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t>Revoir le niveau de services autres que d’assurance fournis au client.</w:t>
            </w:r>
          </w:p>
        </w:tc>
        <w:tc>
          <w:tcPr>
            <w:tcW w:w="530" w:type="pct"/>
          </w:tcPr>
          <w:p w14:paraId="652DFB17"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30069E43"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5EC30A82" w14:textId="77777777" w:rsidTr="00475E8B">
        <w:tc>
          <w:tcPr>
            <w:tcW w:w="3788" w:type="pct"/>
          </w:tcPr>
          <w:p w14:paraId="50E6C5F6" w14:textId="77777777" w:rsidR="004F165C" w:rsidRPr="007038E4" w:rsidRDefault="004F165C" w:rsidP="004F165C">
            <w:pPr>
              <w:numPr>
                <w:ilvl w:val="1"/>
                <w:numId w:val="1"/>
              </w:numPr>
              <w:spacing w:after="0"/>
              <w:ind w:left="320" w:hanging="289"/>
              <w:jc w:val="both"/>
              <w:rPr>
                <w:szCs w:val="18"/>
              </w:rPr>
            </w:pPr>
            <w:r w:rsidRPr="007038E4">
              <w:rPr>
                <w:szCs w:val="18"/>
              </w:rPr>
              <w:t>Revoir l’importance et le traitement des anomalies corrigées et non corrigées identifiées au cours de la mission.</w:t>
            </w:r>
          </w:p>
        </w:tc>
        <w:tc>
          <w:tcPr>
            <w:tcW w:w="530" w:type="pct"/>
          </w:tcPr>
          <w:p w14:paraId="40455279" w14:textId="77777777" w:rsidR="004F165C" w:rsidRPr="007038E4"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3E79B935" w14:textId="77777777" w:rsidR="004F165C" w:rsidRPr="007038E4"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5AE5FA95" w14:textId="77777777" w:rsidTr="00475E8B">
        <w:tc>
          <w:tcPr>
            <w:tcW w:w="3788" w:type="pct"/>
          </w:tcPr>
          <w:p w14:paraId="7B76F869"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t>Revoir l’évaluation faite par l’équipe de mission de l’indépendance du cabinet et des membres du cabinet, y compris du personnel des cabinets membres du réseau et des experts.</w:t>
            </w:r>
          </w:p>
        </w:tc>
        <w:tc>
          <w:tcPr>
            <w:tcW w:w="530" w:type="pct"/>
          </w:tcPr>
          <w:p w14:paraId="1E24D686"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06468842"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398AD96B" w14:textId="77777777" w:rsidTr="00475E8B">
        <w:tc>
          <w:tcPr>
            <w:tcW w:w="3788" w:type="pct"/>
          </w:tcPr>
          <w:p w14:paraId="43CAFF38"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t>Revoir les preuves indiquant que d’autres associés ont été consultés à l’égard des questions difficiles ou litigieuses et des divergences d’opinions et que les conclusions sont appropriées et ont été mises en œuvre.</w:t>
            </w:r>
          </w:p>
        </w:tc>
        <w:tc>
          <w:tcPr>
            <w:tcW w:w="530" w:type="pct"/>
          </w:tcPr>
          <w:p w14:paraId="5DADE00F"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72797BAF"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5A9093EC" w14:textId="77777777" w:rsidTr="00475E8B">
        <w:tc>
          <w:tcPr>
            <w:tcW w:w="3788" w:type="pct"/>
          </w:tcPr>
          <w:p w14:paraId="1EC3A6A1"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t>Revoir les conseils des spécialistes consultés.</w:t>
            </w:r>
          </w:p>
        </w:tc>
        <w:tc>
          <w:tcPr>
            <w:tcW w:w="530" w:type="pct"/>
          </w:tcPr>
          <w:p w14:paraId="52DC3046"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6434D9B3"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6CBF269B" w14:textId="77777777" w:rsidTr="00475E8B">
        <w:tc>
          <w:tcPr>
            <w:tcW w:w="3788" w:type="pct"/>
          </w:tcPr>
          <w:p w14:paraId="7787B426"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t>Revoir les questions à communiquer à la direction et aux responsables de la gouvernance et, au besoin, aux instances de réglementation.</w:t>
            </w:r>
          </w:p>
        </w:tc>
        <w:tc>
          <w:tcPr>
            <w:tcW w:w="530" w:type="pct"/>
          </w:tcPr>
          <w:p w14:paraId="2C1719D4"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0D46B5F5" w14:textId="77777777" w:rsidR="004F165C" w:rsidRPr="007038E4" w:rsidRDefault="004F165C" w:rsidP="00475E8B">
            <w:pPr>
              <w:spacing w:after="0"/>
              <w:jc w:val="both"/>
              <w:rPr>
                <w:rFonts w:eastAsia="Times New Roman" w:cs="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4737E5E4" w14:textId="77777777" w:rsidTr="00475E8B">
        <w:tc>
          <w:tcPr>
            <w:tcW w:w="3788" w:type="pct"/>
          </w:tcPr>
          <w:p w14:paraId="7C3907C2" w14:textId="77777777" w:rsidR="004F165C" w:rsidRPr="007038E4" w:rsidRDefault="004F165C" w:rsidP="004F165C">
            <w:pPr>
              <w:numPr>
                <w:ilvl w:val="1"/>
                <w:numId w:val="1"/>
              </w:numPr>
              <w:spacing w:after="0"/>
              <w:ind w:left="320" w:hanging="289"/>
              <w:jc w:val="both"/>
              <w:rPr>
                <w:rFonts w:eastAsia="Calibri" w:cs="Times New Roman"/>
                <w:lang w:eastAsia="fr-BE"/>
              </w:rPr>
            </w:pPr>
            <w:r w:rsidRPr="007038E4">
              <w:rPr>
                <w:szCs w:val="18"/>
              </w:rPr>
              <w:t>Avoir un entretien avec l’associé responsable de la mission pendant la revue de contrôle qualité de la mission pour revoir les décisions relatives aux aspects litigieux, difficiles ou complexes de la mission qui ont une incidence sur l’information à fournir dans les états financiers.</w:t>
            </w:r>
          </w:p>
        </w:tc>
        <w:tc>
          <w:tcPr>
            <w:tcW w:w="530" w:type="pct"/>
          </w:tcPr>
          <w:p w14:paraId="32EB9CA2" w14:textId="77777777" w:rsidR="004F165C" w:rsidRPr="007038E4"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13E4AFC5" w14:textId="77777777" w:rsidR="004F165C" w:rsidRPr="007038E4"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359C8EFC" w14:textId="77777777" w:rsidTr="00475E8B">
        <w:tc>
          <w:tcPr>
            <w:tcW w:w="3788" w:type="pct"/>
          </w:tcPr>
          <w:p w14:paraId="467B470D" w14:textId="74A7AB99" w:rsidR="004F165C" w:rsidRPr="007038E4" w:rsidRDefault="006E20A0" w:rsidP="004F165C">
            <w:pPr>
              <w:numPr>
                <w:ilvl w:val="1"/>
                <w:numId w:val="1"/>
              </w:numPr>
              <w:spacing w:after="0"/>
              <w:ind w:left="320" w:hanging="289"/>
              <w:jc w:val="both"/>
              <w:rPr>
                <w:rFonts w:eastAsia="Calibri" w:cs="Times New Roman"/>
                <w:lang w:eastAsia="fr-BE"/>
              </w:rPr>
            </w:pPr>
            <w:r w:rsidRPr="007038E4">
              <w:rPr>
                <w:szCs w:val="18"/>
              </w:rPr>
              <w:t xml:space="preserve">Lorsque les recommandations </w:t>
            </w:r>
            <w:r w:rsidRPr="00F35A47">
              <w:rPr>
                <w:szCs w:val="18"/>
              </w:rPr>
              <w:t>de la</w:t>
            </w:r>
            <w:r w:rsidRPr="006E20A0">
              <w:rPr>
                <w:rFonts w:eastAsia="Times New Roman" w:cs="Times New Roman"/>
                <w:lang w:eastAsia="nl-NL"/>
              </w:rPr>
              <w:t xml:space="preserve"> personne chargée de la revue de contrôle qualité de la mission</w:t>
            </w:r>
            <w:r w:rsidRPr="007038E4">
              <w:rPr>
                <w:szCs w:val="18"/>
              </w:rPr>
              <w:t xml:space="preserve"> ne sont pas acceptées par l’associé responsable de la mission et que la question n’est pas résolue à la satisfaction </w:t>
            </w:r>
            <w:r w:rsidRPr="002B5B06">
              <w:rPr>
                <w:szCs w:val="18"/>
              </w:rPr>
              <w:t>de la</w:t>
            </w:r>
            <w:r w:rsidRPr="002B5B06">
              <w:rPr>
                <w:rFonts w:eastAsia="Times New Roman" w:cs="Times New Roman"/>
                <w:lang w:eastAsia="nl-NL"/>
              </w:rPr>
              <w:t xml:space="preserve"> personne chargée de la revue de contrôle qualité de la mission</w:t>
            </w:r>
            <w:r w:rsidRPr="007038E4">
              <w:rPr>
                <w:szCs w:val="18"/>
              </w:rPr>
              <w:t>, le rapport ne peut être daté tant que la question n’est pas résolue par la mise en œuvre des procédures du cabinet concernant le traitement des divergences d’opinions. Fournir des détails, le cas échéant</w:t>
            </w:r>
            <w:r w:rsidR="004F165C" w:rsidRPr="007038E4">
              <w:rPr>
                <w:szCs w:val="18"/>
              </w:rPr>
              <w:t>.</w:t>
            </w:r>
          </w:p>
        </w:tc>
        <w:tc>
          <w:tcPr>
            <w:tcW w:w="530" w:type="pct"/>
          </w:tcPr>
          <w:p w14:paraId="026194CB" w14:textId="77777777" w:rsidR="004F165C" w:rsidRPr="007038E4"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7495E5C4" w14:textId="77777777" w:rsidR="004F165C" w:rsidRPr="007038E4"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5E208E0B" w14:textId="77777777" w:rsidTr="00475E8B">
        <w:tc>
          <w:tcPr>
            <w:tcW w:w="3788" w:type="pct"/>
          </w:tcPr>
          <w:p w14:paraId="522630FD" w14:textId="77777777" w:rsidR="004F165C" w:rsidRPr="007038E4" w:rsidRDefault="004F165C" w:rsidP="004F165C">
            <w:pPr>
              <w:numPr>
                <w:ilvl w:val="1"/>
                <w:numId w:val="1"/>
              </w:numPr>
              <w:spacing w:after="0"/>
              <w:ind w:left="320" w:hanging="289"/>
              <w:jc w:val="both"/>
              <w:rPr>
                <w:szCs w:val="18"/>
              </w:rPr>
            </w:pPr>
            <w:r w:rsidRPr="007038E4">
              <w:rPr>
                <w:rFonts w:eastAsia="Times New Roman" w:cs="Times New Roman"/>
                <w:lang w:eastAsia="fr-BE"/>
              </w:rPr>
              <w:t>Déterminez si le dossier a été clôturé dans le délai imparti et si les éventuelles modifications ont ensuite été documentées conformément aux normes.</w:t>
            </w:r>
          </w:p>
        </w:tc>
        <w:tc>
          <w:tcPr>
            <w:tcW w:w="530" w:type="pct"/>
          </w:tcPr>
          <w:p w14:paraId="1E3232C7" w14:textId="77777777" w:rsidR="004F165C" w:rsidRPr="007038E4"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06D2C01B" w14:textId="77777777" w:rsidR="004F165C" w:rsidRPr="007038E4"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F165C" w:rsidRPr="007038E4" w14:paraId="0B785411" w14:textId="77777777" w:rsidTr="00475E8B">
        <w:tc>
          <w:tcPr>
            <w:tcW w:w="3788" w:type="pct"/>
          </w:tcPr>
          <w:p w14:paraId="21F62BB7" w14:textId="77777777" w:rsidR="004F165C" w:rsidRPr="007038E4" w:rsidRDefault="004F165C" w:rsidP="004F165C">
            <w:pPr>
              <w:numPr>
                <w:ilvl w:val="1"/>
                <w:numId w:val="1"/>
              </w:numPr>
              <w:spacing w:after="0"/>
              <w:ind w:left="320" w:hanging="289"/>
              <w:jc w:val="both"/>
              <w:rPr>
                <w:szCs w:val="18"/>
              </w:rPr>
            </w:pPr>
            <w:r w:rsidRPr="007038E4">
              <w:rPr>
                <w:rFonts w:eastAsia="Times New Roman" w:cs="Times New Roman"/>
                <w:lang w:eastAsia="fr-BE"/>
              </w:rPr>
              <w:t>Déterminez si le dossier de mission a été archivé conformément aux règles établies par le cabinet, ainsi qu’à la réglementation en vigueur.</w:t>
            </w:r>
          </w:p>
        </w:tc>
        <w:tc>
          <w:tcPr>
            <w:tcW w:w="530" w:type="pct"/>
          </w:tcPr>
          <w:p w14:paraId="7BF7DEA6" w14:textId="77777777" w:rsidR="004F165C" w:rsidRPr="007038E4"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2" w:type="pct"/>
          </w:tcPr>
          <w:p w14:paraId="6F2577F8" w14:textId="77777777" w:rsidR="004F165C" w:rsidRPr="007038E4" w:rsidRDefault="004F165C" w:rsidP="00475E8B">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bl>
    <w:p w14:paraId="223DC41A" w14:textId="77777777" w:rsidR="004F165C" w:rsidRDefault="004F165C" w:rsidP="004F165C">
      <w:pPr>
        <w:spacing w:after="0"/>
        <w:jc w:val="both"/>
        <w:rPr>
          <w:rFonts w:eastAsia="Times New Roman" w:cs="Times New Roman"/>
          <w:lang w:eastAsia="fr-BE"/>
        </w:rPr>
      </w:pPr>
    </w:p>
    <w:p w14:paraId="3698EE91" w14:textId="77777777" w:rsidR="004F165C" w:rsidRPr="00991668" w:rsidRDefault="004F165C" w:rsidP="004F165C">
      <w:pPr>
        <w:spacing w:after="0"/>
        <w:jc w:val="both"/>
        <w:rPr>
          <w:rFonts w:eastAsia="Times New Roman" w:cs="Times New Roman"/>
          <w:b/>
          <w:lang w:eastAsia="fr-BE"/>
        </w:rPr>
      </w:pPr>
      <w:r w:rsidRPr="00991668">
        <w:rPr>
          <w:rFonts w:eastAsia="Times New Roman" w:cs="Times New Roman"/>
          <w:b/>
          <w:lang w:eastAsia="fr-BE"/>
        </w:rPr>
        <w:t>Commentaires :</w:t>
      </w:r>
    </w:p>
    <w:p w14:paraId="2404F157" w14:textId="77777777" w:rsidR="004F165C" w:rsidRDefault="004F165C" w:rsidP="004F165C">
      <w:pPr>
        <w:spacing w:after="0"/>
        <w:jc w:val="both"/>
        <w:rPr>
          <w:rFonts w:eastAsia="Times New Roman" w:cs="Times New Roman"/>
          <w:lang w:eastAsia="fr-BE"/>
        </w:rPr>
      </w:pPr>
    </w:p>
    <w:p w14:paraId="6CAB6713" w14:textId="77777777" w:rsidR="004F165C" w:rsidRDefault="004F165C" w:rsidP="004F165C">
      <w:pPr>
        <w:spacing w:after="0"/>
        <w:jc w:val="both"/>
        <w:rPr>
          <w:rFonts w:eastAsia="Times New Roman" w:cs="Times New Roman"/>
          <w:lang w:eastAsia="fr-BE"/>
        </w:rPr>
      </w:pPr>
    </w:p>
    <w:p w14:paraId="069E4741" w14:textId="77777777" w:rsidR="004F165C" w:rsidRDefault="004F165C" w:rsidP="004F165C">
      <w:pPr>
        <w:spacing w:after="0"/>
        <w:jc w:val="both"/>
        <w:rPr>
          <w:rFonts w:eastAsia="Times New Roman" w:cs="Times New Roman"/>
          <w:lang w:eastAsia="fr-BE"/>
        </w:rPr>
      </w:pPr>
    </w:p>
    <w:p w14:paraId="01204C21" w14:textId="77777777" w:rsidR="004F165C" w:rsidRDefault="004F165C" w:rsidP="004F165C">
      <w:pPr>
        <w:spacing w:after="0"/>
        <w:jc w:val="both"/>
        <w:rPr>
          <w:rFonts w:eastAsia="Times New Roman" w:cs="Times New Roman"/>
          <w:lang w:eastAsia="fr-BE"/>
        </w:rPr>
      </w:pPr>
    </w:p>
    <w:p w14:paraId="4F15345A" w14:textId="77777777" w:rsidR="004F165C" w:rsidRPr="007038E4" w:rsidRDefault="004F165C" w:rsidP="004F165C">
      <w:pPr>
        <w:spacing w:after="0"/>
        <w:jc w:val="both"/>
        <w:rPr>
          <w:rFonts w:eastAsia="Times New Roman" w:cs="Times New Roman"/>
          <w:lang w:eastAsia="fr-BE"/>
        </w:rPr>
      </w:pPr>
    </w:p>
    <w:tbl>
      <w:tblPr>
        <w:tblpPr w:leftFromText="141" w:rightFromText="141" w:vertAnchor="text" w:horzAnchor="margin" w:tblpY="3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10"/>
        <w:gridCol w:w="1276"/>
        <w:gridCol w:w="2126"/>
      </w:tblGrid>
      <w:tr w:rsidR="004F165C" w:rsidRPr="007038E4" w14:paraId="4EF99075" w14:textId="77777777" w:rsidTr="00475E8B">
        <w:tc>
          <w:tcPr>
            <w:tcW w:w="3510" w:type="dxa"/>
            <w:shd w:val="clear" w:color="auto" w:fill="auto"/>
          </w:tcPr>
          <w:p w14:paraId="7B863A88" w14:textId="77777777" w:rsidR="004F165C" w:rsidRPr="007038E4" w:rsidRDefault="004F165C" w:rsidP="00475E8B">
            <w:pPr>
              <w:spacing w:after="0" w:line="240" w:lineRule="auto"/>
              <w:jc w:val="center"/>
              <w:rPr>
                <w:rFonts w:eastAsia="Times New Roman"/>
                <w:b/>
                <w:lang w:eastAsia="fr-BE"/>
              </w:rPr>
            </w:pPr>
          </w:p>
        </w:tc>
        <w:tc>
          <w:tcPr>
            <w:tcW w:w="2410" w:type="dxa"/>
            <w:shd w:val="clear" w:color="auto" w:fill="auto"/>
          </w:tcPr>
          <w:p w14:paraId="678076E7" w14:textId="77777777" w:rsidR="004F165C" w:rsidRPr="007038E4" w:rsidRDefault="004F165C" w:rsidP="00475E8B">
            <w:pPr>
              <w:spacing w:after="0" w:line="240" w:lineRule="auto"/>
              <w:jc w:val="center"/>
              <w:rPr>
                <w:rFonts w:eastAsia="Times New Roman"/>
                <w:b/>
                <w:lang w:eastAsia="fr-BE"/>
              </w:rPr>
            </w:pPr>
            <w:r w:rsidRPr="007038E4">
              <w:rPr>
                <w:rFonts w:eastAsia="Times New Roman" w:cs="Times New Roman"/>
                <w:b/>
                <w:lang w:eastAsia="fr-BE"/>
              </w:rPr>
              <w:t>Nom</w:t>
            </w:r>
          </w:p>
        </w:tc>
        <w:tc>
          <w:tcPr>
            <w:tcW w:w="1276" w:type="dxa"/>
            <w:shd w:val="clear" w:color="auto" w:fill="auto"/>
          </w:tcPr>
          <w:p w14:paraId="465E73BA" w14:textId="77777777" w:rsidR="004F165C" w:rsidRPr="007038E4" w:rsidRDefault="004F165C" w:rsidP="00475E8B">
            <w:pPr>
              <w:spacing w:after="0" w:line="240" w:lineRule="auto"/>
              <w:jc w:val="center"/>
              <w:rPr>
                <w:rFonts w:eastAsia="Times New Roman"/>
                <w:b/>
                <w:lang w:eastAsia="fr-BE"/>
              </w:rPr>
            </w:pPr>
            <w:r w:rsidRPr="007038E4">
              <w:rPr>
                <w:rFonts w:eastAsia="Times New Roman" w:cs="Times New Roman"/>
                <w:b/>
                <w:lang w:eastAsia="fr-BE"/>
              </w:rPr>
              <w:t>Date</w:t>
            </w:r>
          </w:p>
        </w:tc>
        <w:tc>
          <w:tcPr>
            <w:tcW w:w="2126" w:type="dxa"/>
            <w:shd w:val="clear" w:color="auto" w:fill="auto"/>
          </w:tcPr>
          <w:p w14:paraId="308A916B" w14:textId="77777777" w:rsidR="004F165C" w:rsidRPr="007038E4" w:rsidRDefault="004F165C" w:rsidP="00475E8B">
            <w:pPr>
              <w:spacing w:after="0" w:line="240" w:lineRule="auto"/>
              <w:jc w:val="center"/>
              <w:rPr>
                <w:rFonts w:eastAsia="Times New Roman"/>
                <w:b/>
                <w:lang w:eastAsia="fr-BE"/>
              </w:rPr>
            </w:pPr>
            <w:r w:rsidRPr="007038E4">
              <w:rPr>
                <w:rFonts w:eastAsia="Times New Roman" w:cs="Times New Roman"/>
                <w:b/>
                <w:lang w:eastAsia="fr-BE"/>
              </w:rPr>
              <w:t>Signature</w:t>
            </w:r>
          </w:p>
        </w:tc>
      </w:tr>
      <w:tr w:rsidR="004F165C" w:rsidRPr="007038E4" w14:paraId="62E0BB73" w14:textId="77777777" w:rsidTr="00475E8B">
        <w:tc>
          <w:tcPr>
            <w:tcW w:w="3510" w:type="dxa"/>
            <w:shd w:val="clear" w:color="auto" w:fill="auto"/>
          </w:tcPr>
          <w:p w14:paraId="27565270" w14:textId="1D7B8B7E" w:rsidR="004F165C" w:rsidRPr="007038E4" w:rsidRDefault="004F165C" w:rsidP="00475E8B">
            <w:pPr>
              <w:spacing w:after="0" w:line="240" w:lineRule="auto"/>
              <w:jc w:val="both"/>
              <w:rPr>
                <w:rFonts w:eastAsia="Times New Roman"/>
                <w:lang w:eastAsia="fr-BE"/>
              </w:rPr>
            </w:pPr>
            <w:r w:rsidRPr="007038E4">
              <w:rPr>
                <w:lang w:eastAsia="fr-FR"/>
              </w:rPr>
              <w:t>R</w:t>
            </w:r>
            <w:r w:rsidRPr="005F283D">
              <w:rPr>
                <w:lang w:eastAsia="fr-FR"/>
              </w:rPr>
              <w:t xml:space="preserve">esponsable </w:t>
            </w:r>
            <w:r w:rsidRPr="007038E4">
              <w:t>du processus de surveillance du système interne de contrôle qualité</w:t>
            </w:r>
            <w:r w:rsidR="005D0340">
              <w:t xml:space="preserve"> (inspection interne)</w:t>
            </w:r>
            <w:bookmarkStart w:id="19" w:name="_GoBack"/>
            <w:bookmarkEnd w:id="19"/>
          </w:p>
        </w:tc>
        <w:tc>
          <w:tcPr>
            <w:tcW w:w="2410" w:type="dxa"/>
            <w:shd w:val="clear" w:color="auto" w:fill="auto"/>
          </w:tcPr>
          <w:p w14:paraId="35A54C75" w14:textId="77777777" w:rsidR="004F165C" w:rsidRPr="007038E4" w:rsidRDefault="004F165C" w:rsidP="00475E8B">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1276" w:type="dxa"/>
            <w:shd w:val="clear" w:color="auto" w:fill="auto"/>
          </w:tcPr>
          <w:p w14:paraId="21730012" w14:textId="77777777" w:rsidR="004F165C" w:rsidRPr="007038E4" w:rsidRDefault="004F165C" w:rsidP="00475E8B">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2126" w:type="dxa"/>
            <w:shd w:val="clear" w:color="auto" w:fill="auto"/>
          </w:tcPr>
          <w:p w14:paraId="53D664AA" w14:textId="77777777" w:rsidR="004F165C" w:rsidRPr="007038E4" w:rsidRDefault="004F165C" w:rsidP="00475E8B">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bl>
    <w:p w14:paraId="628427FB" w14:textId="77777777" w:rsidR="004F165C" w:rsidRDefault="004F165C" w:rsidP="004F165C">
      <w:pPr>
        <w:spacing w:before="120" w:after="120" w:line="312" w:lineRule="auto"/>
        <w:jc w:val="both"/>
        <w:rPr>
          <w:rFonts w:eastAsia="Times New Roman" w:cs="Times New Roman"/>
          <w:i/>
          <w:iCs/>
          <w:lang w:eastAsia="fr-BE"/>
        </w:rPr>
      </w:pPr>
    </w:p>
    <w:p w14:paraId="02FEB608" w14:textId="77777777" w:rsidR="004F165C" w:rsidRDefault="004F165C" w:rsidP="004F165C">
      <w:pPr>
        <w:spacing w:before="120" w:after="120" w:line="312" w:lineRule="auto"/>
        <w:jc w:val="both"/>
        <w:rPr>
          <w:rFonts w:eastAsia="Times New Roman" w:cs="Times New Roman"/>
          <w:i/>
          <w:iCs/>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sectPr w:rsidR="004F165C" w:rsidSect="006E20A0">
      <w:headerReference w:type="default" r:id="rId7"/>
      <w:footerReference w:type="default" r:id="rId8"/>
      <w:pgSz w:w="11907" w:h="16839" w:code="9"/>
      <w:pgMar w:top="1418" w:right="1418" w:bottom="1418" w:left="1418" w:header="709" w:footer="709"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52475" w14:textId="77777777" w:rsidR="00147A1F" w:rsidRDefault="00630E2B">
      <w:pPr>
        <w:spacing w:after="0" w:line="240" w:lineRule="auto"/>
      </w:pPr>
      <w:r>
        <w:separator/>
      </w:r>
    </w:p>
  </w:endnote>
  <w:endnote w:type="continuationSeparator" w:id="0">
    <w:p w14:paraId="4F5AA690" w14:textId="77777777" w:rsidR="00147A1F" w:rsidRDefault="0063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9EA3" w14:textId="1AAEEE30" w:rsidR="006E20A0" w:rsidRDefault="00AA70E5" w:rsidP="006E20A0">
    <w:pPr>
      <w:pStyle w:val="Footer"/>
      <w:jc w:val="right"/>
    </w:pPr>
    <w:r>
      <w:t>V 3.0 du 06.11</w:t>
    </w:r>
    <w:r w:rsidR="006E20A0">
      <w:t>.2018</w:t>
    </w:r>
    <w:r w:rsidR="006E20A0">
      <w:tab/>
    </w:r>
    <w:r w:rsidR="006E20A0">
      <w:tab/>
    </w:r>
    <w:r w:rsidR="006E20A0">
      <w:rPr>
        <w:lang w:val="fr-FR"/>
      </w:rPr>
      <w:t xml:space="preserve">Page </w:t>
    </w:r>
    <w:r w:rsidR="006E20A0">
      <w:rPr>
        <w:b/>
        <w:bCs/>
      </w:rPr>
      <w:fldChar w:fldCharType="begin"/>
    </w:r>
    <w:r w:rsidR="006E20A0">
      <w:rPr>
        <w:b/>
        <w:bCs/>
      </w:rPr>
      <w:instrText>PAGE  \* Arabic  \* MERGEFORMAT</w:instrText>
    </w:r>
    <w:r w:rsidR="006E20A0">
      <w:rPr>
        <w:b/>
        <w:bCs/>
      </w:rPr>
      <w:fldChar w:fldCharType="separate"/>
    </w:r>
    <w:r w:rsidR="006E20A0">
      <w:rPr>
        <w:b/>
        <w:bCs/>
      </w:rPr>
      <w:t>301</w:t>
    </w:r>
    <w:r w:rsidR="006E20A0">
      <w:rPr>
        <w:b/>
        <w:bCs/>
      </w:rPr>
      <w:fldChar w:fldCharType="end"/>
    </w:r>
    <w:r w:rsidR="006E20A0">
      <w:rPr>
        <w:lang w:val="fr-FR"/>
      </w:rPr>
      <w:t xml:space="preserve"> sur </w:t>
    </w:r>
    <w:r w:rsidR="006E20A0">
      <w:rPr>
        <w:b/>
        <w:bCs/>
      </w:rPr>
      <w:fldChar w:fldCharType="begin"/>
    </w:r>
    <w:r w:rsidR="006E20A0">
      <w:rPr>
        <w:b/>
        <w:bCs/>
      </w:rPr>
      <w:instrText>NUMPAGES  \* Arabic  \* MERGEFORMAT</w:instrText>
    </w:r>
    <w:r w:rsidR="006E20A0">
      <w:rPr>
        <w:b/>
        <w:bCs/>
      </w:rPr>
      <w:fldChar w:fldCharType="separate"/>
    </w:r>
    <w:r w:rsidR="006E20A0">
      <w:rPr>
        <w:b/>
        <w:bCs/>
      </w:rPr>
      <w:t>316</w:t>
    </w:r>
    <w:r w:rsidR="006E20A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BF05D" w14:textId="77777777" w:rsidR="00147A1F" w:rsidRDefault="00630E2B">
      <w:pPr>
        <w:spacing w:after="0" w:line="240" w:lineRule="auto"/>
      </w:pPr>
      <w:r>
        <w:separator/>
      </w:r>
    </w:p>
  </w:footnote>
  <w:footnote w:type="continuationSeparator" w:id="0">
    <w:p w14:paraId="638346A7" w14:textId="77777777" w:rsidR="00147A1F" w:rsidRDefault="00630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C55D" w14:textId="44BF3C74" w:rsidR="00CE1000" w:rsidRPr="006E20A0" w:rsidRDefault="004F165C" w:rsidP="00C77668">
    <w:pPr>
      <w:pStyle w:val="Header"/>
    </w:pPr>
    <w:bookmarkStart w:id="20" w:name="_Hlk528143444"/>
    <w:bookmarkStart w:id="21" w:name="_Hlk528143445"/>
    <w:r>
      <w:tab/>
    </w:r>
    <w:r>
      <w:tab/>
    </w:r>
    <w:r w:rsidRPr="006E20A0">
      <w:t xml:space="preserve"> </w:t>
    </w:r>
    <w:r w:rsidRPr="006E20A0">
      <w:rPr>
        <w:rFonts w:eastAsiaTheme="majorEastAsia"/>
        <w:lang w:val="fr-FR"/>
      </w:rPr>
      <w:fldChar w:fldCharType="begin"/>
    </w:r>
    <w:r w:rsidRPr="006E20A0">
      <w:rPr>
        <w:rFonts w:eastAsiaTheme="majorEastAsia"/>
        <w:lang w:val="fr-FR"/>
      </w:rPr>
      <w:instrText xml:space="preserve"> REF LogoCabinetFr  \* MERGEFORMAT </w:instrText>
    </w:r>
    <w:r w:rsidRPr="006E20A0">
      <w:rPr>
        <w:rFonts w:eastAsiaTheme="majorEastAsia"/>
        <w:lang w:val="fr-FR"/>
      </w:rPr>
      <w:fldChar w:fldCharType="separate"/>
    </w:r>
    <w:r w:rsidRPr="006E20A0">
      <w:rPr>
        <w:rFonts w:eastAsiaTheme="majorEastAsia"/>
        <w:lang w:val="fr-FR"/>
      </w:rPr>
      <w:t> Insérer</w:t>
    </w:r>
    <w:r w:rsidRPr="006E20A0">
      <w:rPr>
        <w:lang w:val="fr-FR" w:eastAsia="nl-NL"/>
      </w:rPr>
      <w:t xml:space="preserve"> ici le logo de</w:t>
    </w:r>
    <w:r w:rsidRPr="006E20A0">
      <w:rPr>
        <w:rFonts w:eastAsiaTheme="majorEastAsia"/>
        <w:lang w:val="fr-FR"/>
      </w:rPr>
      <w:t xml:space="preserve"> </w:t>
    </w:r>
    <w:r w:rsidRPr="006E20A0">
      <w:rPr>
        <w:lang w:val="fr-FR" w:eastAsia="nl-NL"/>
      </w:rPr>
      <w:t xml:space="preserve">votre Cabinet </w:t>
    </w:r>
    <w:r w:rsidRPr="006E20A0">
      <w:rPr>
        <w:lang w:eastAsia="nl-NL"/>
      </w:rPr>
      <w:fldChar w:fldCharType="end"/>
    </w:r>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4A88"/>
    <w:multiLevelType w:val="multilevel"/>
    <w:tmpl w:val="E88A74E8"/>
    <w:lvl w:ilvl="0">
      <w:start w:val="1"/>
      <w:numFmt w:val="decimal"/>
      <w:lvlText w:val="%1."/>
      <w:lvlJc w:val="left"/>
      <w:pPr>
        <w:ind w:left="360" w:hanging="360"/>
      </w:pPr>
      <w:rPr>
        <w:rFonts w:hint="default"/>
        <w:color w:val="auto"/>
      </w:rPr>
    </w:lvl>
    <w:lvl w:ilvl="1">
      <w:start w:val="1"/>
      <w:numFmt w:val="decimal"/>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5C"/>
    <w:rsid w:val="00056AF1"/>
    <w:rsid w:val="00073884"/>
    <w:rsid w:val="000A0B38"/>
    <w:rsid w:val="000D1BE9"/>
    <w:rsid w:val="00115D7F"/>
    <w:rsid w:val="00136D43"/>
    <w:rsid w:val="0014238F"/>
    <w:rsid w:val="00147A1F"/>
    <w:rsid w:val="00187478"/>
    <w:rsid w:val="001A2732"/>
    <w:rsid w:val="001D64E3"/>
    <w:rsid w:val="00217153"/>
    <w:rsid w:val="00225ADA"/>
    <w:rsid w:val="002807F8"/>
    <w:rsid w:val="002943FB"/>
    <w:rsid w:val="00295944"/>
    <w:rsid w:val="002E4685"/>
    <w:rsid w:val="003130FE"/>
    <w:rsid w:val="003418DD"/>
    <w:rsid w:val="00355452"/>
    <w:rsid w:val="00381B15"/>
    <w:rsid w:val="003F3847"/>
    <w:rsid w:val="003F5F8F"/>
    <w:rsid w:val="0042689E"/>
    <w:rsid w:val="004276F4"/>
    <w:rsid w:val="00465E2C"/>
    <w:rsid w:val="0047768D"/>
    <w:rsid w:val="004B2ABC"/>
    <w:rsid w:val="004C644B"/>
    <w:rsid w:val="004F165C"/>
    <w:rsid w:val="005274B4"/>
    <w:rsid w:val="00566C10"/>
    <w:rsid w:val="005B7803"/>
    <w:rsid w:val="005D0340"/>
    <w:rsid w:val="005E5255"/>
    <w:rsid w:val="00630E2B"/>
    <w:rsid w:val="00637A55"/>
    <w:rsid w:val="00642344"/>
    <w:rsid w:val="00685851"/>
    <w:rsid w:val="006D65C1"/>
    <w:rsid w:val="006E20A0"/>
    <w:rsid w:val="007107DB"/>
    <w:rsid w:val="00766E8C"/>
    <w:rsid w:val="007A46DC"/>
    <w:rsid w:val="007D2F7C"/>
    <w:rsid w:val="007D7F6C"/>
    <w:rsid w:val="0080189D"/>
    <w:rsid w:val="008172A8"/>
    <w:rsid w:val="008A0DF7"/>
    <w:rsid w:val="008B18CA"/>
    <w:rsid w:val="008F4974"/>
    <w:rsid w:val="008F587A"/>
    <w:rsid w:val="009062BA"/>
    <w:rsid w:val="00910F53"/>
    <w:rsid w:val="00966E0A"/>
    <w:rsid w:val="009B5280"/>
    <w:rsid w:val="00A06D0A"/>
    <w:rsid w:val="00A34152"/>
    <w:rsid w:val="00A87190"/>
    <w:rsid w:val="00A92BFC"/>
    <w:rsid w:val="00AA70E5"/>
    <w:rsid w:val="00AE147F"/>
    <w:rsid w:val="00B06211"/>
    <w:rsid w:val="00B53C3C"/>
    <w:rsid w:val="00BE3183"/>
    <w:rsid w:val="00BE3EA3"/>
    <w:rsid w:val="00C060EE"/>
    <w:rsid w:val="00C4217F"/>
    <w:rsid w:val="00CA4DEE"/>
    <w:rsid w:val="00D366E6"/>
    <w:rsid w:val="00D71C18"/>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4078"/>
  <w15:chartTrackingRefBased/>
  <w15:docId w15:val="{A5BDC180-C5CB-4916-B5DF-C7FC13E8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65C"/>
    <w:pPr>
      <w:spacing w:after="200" w:line="276" w:lineRule="auto"/>
    </w:pPr>
    <w:rPr>
      <w:rFonts w:ascii="Arial" w:hAnsi="Arial" w:cs="Arial"/>
      <w:sz w:val="20"/>
      <w:szCs w:val="20"/>
    </w:rPr>
  </w:style>
  <w:style w:type="paragraph" w:styleId="Heading2">
    <w:name w:val="heading 2"/>
    <w:basedOn w:val="NoSpacing"/>
    <w:next w:val="Normal"/>
    <w:link w:val="Heading2Char"/>
    <w:unhideWhenUsed/>
    <w:qFormat/>
    <w:rsid w:val="004F165C"/>
    <w:pPr>
      <w:pageBreakBefore/>
      <w:spacing w:after="120"/>
      <w:outlineLvl w:val="1"/>
    </w:pPr>
    <w:rPr>
      <w:b/>
      <w:sz w:val="44"/>
      <w:szCs w:val="44"/>
    </w:rPr>
  </w:style>
  <w:style w:type="paragraph" w:styleId="Heading4">
    <w:name w:val="heading 4"/>
    <w:basedOn w:val="Normal"/>
    <w:next w:val="Normal"/>
    <w:link w:val="Heading4Char"/>
    <w:unhideWhenUsed/>
    <w:qFormat/>
    <w:rsid w:val="004F165C"/>
    <w:pPr>
      <w:keepNext/>
      <w:spacing w:before="240" w:after="120"/>
      <w:outlineLvl w:val="3"/>
    </w:pPr>
    <w:rPr>
      <w:rFonts w:eastAsia="Times New Roman"/>
      <w:bCs/>
      <w:color w:val="365F91"/>
      <w:sz w:val="28"/>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165C"/>
    <w:rPr>
      <w:rFonts w:ascii="Arial" w:hAnsi="Arial" w:cs="Arial"/>
      <w:b/>
      <w:sz w:val="44"/>
      <w:szCs w:val="44"/>
    </w:rPr>
  </w:style>
  <w:style w:type="character" w:customStyle="1" w:styleId="Heading4Char">
    <w:name w:val="Heading 4 Char"/>
    <w:basedOn w:val="DefaultParagraphFont"/>
    <w:link w:val="Heading4"/>
    <w:rsid w:val="004F165C"/>
    <w:rPr>
      <w:rFonts w:ascii="Arial" w:eastAsia="Times New Roman" w:hAnsi="Arial" w:cs="Arial"/>
      <w:bCs/>
      <w:color w:val="365F91"/>
      <w:sz w:val="28"/>
      <w:szCs w:val="24"/>
      <w:lang w:eastAsia="fr-BE"/>
    </w:rPr>
  </w:style>
  <w:style w:type="paragraph" w:styleId="Header">
    <w:name w:val="header"/>
    <w:basedOn w:val="Normal"/>
    <w:link w:val="HeaderChar"/>
    <w:unhideWhenUsed/>
    <w:rsid w:val="004F165C"/>
    <w:pPr>
      <w:tabs>
        <w:tab w:val="center" w:pos="4513"/>
        <w:tab w:val="right" w:pos="9026"/>
      </w:tabs>
      <w:spacing w:after="0" w:line="240" w:lineRule="auto"/>
    </w:pPr>
  </w:style>
  <w:style w:type="character" w:customStyle="1" w:styleId="HeaderChar">
    <w:name w:val="Header Char"/>
    <w:basedOn w:val="DefaultParagraphFont"/>
    <w:link w:val="Header"/>
    <w:rsid w:val="004F165C"/>
    <w:rPr>
      <w:rFonts w:ascii="Arial" w:hAnsi="Arial" w:cs="Arial"/>
      <w:sz w:val="20"/>
      <w:szCs w:val="20"/>
    </w:rPr>
  </w:style>
  <w:style w:type="paragraph" w:styleId="NoSpacing">
    <w:name w:val="No Spacing"/>
    <w:uiPriority w:val="1"/>
    <w:qFormat/>
    <w:rsid w:val="004F165C"/>
    <w:pPr>
      <w:spacing w:after="0" w:line="240" w:lineRule="auto"/>
    </w:pPr>
    <w:rPr>
      <w:rFonts w:ascii="Arial" w:hAnsi="Arial" w:cs="Arial"/>
      <w:sz w:val="20"/>
      <w:szCs w:val="20"/>
    </w:rPr>
  </w:style>
  <w:style w:type="paragraph" w:styleId="Footer">
    <w:name w:val="footer"/>
    <w:basedOn w:val="Normal"/>
    <w:link w:val="FooterChar"/>
    <w:uiPriority w:val="99"/>
    <w:unhideWhenUsed/>
    <w:rsid w:val="006E2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0A0"/>
    <w:rPr>
      <w:rFonts w:ascii="Arial" w:hAnsi="Arial" w:cs="Arial"/>
      <w:sz w:val="20"/>
      <w:szCs w:val="20"/>
    </w:rPr>
  </w:style>
  <w:style w:type="paragraph" w:styleId="BalloonText">
    <w:name w:val="Balloon Text"/>
    <w:basedOn w:val="Normal"/>
    <w:link w:val="BalloonTextChar"/>
    <w:uiPriority w:val="99"/>
    <w:semiHidden/>
    <w:unhideWhenUsed/>
    <w:rsid w:val="006E2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55F11-C2AD-45B5-9678-8795363F650A}"/>
</file>

<file path=customXml/itemProps2.xml><?xml version="1.0" encoding="utf-8"?>
<ds:datastoreItem xmlns:ds="http://schemas.openxmlformats.org/officeDocument/2006/customXml" ds:itemID="{24244296-9A7E-4BAF-BE54-46DA448DE66C}"/>
</file>

<file path=customXml/itemProps3.xml><?xml version="1.0" encoding="utf-8"?>
<ds:datastoreItem xmlns:ds="http://schemas.openxmlformats.org/officeDocument/2006/customXml" ds:itemID="{AF127B4D-BDFE-4481-90F7-EC44936EE006}"/>
</file>

<file path=customXml/itemProps4.xml><?xml version="1.0" encoding="utf-8"?>
<ds:datastoreItem xmlns:ds="http://schemas.openxmlformats.org/officeDocument/2006/customXml" ds:itemID="{5604234B-4089-47FE-B172-C81526FD59EF}"/>
</file>

<file path=docProps/app.xml><?xml version="1.0" encoding="utf-8"?>
<Properties xmlns="http://schemas.openxmlformats.org/officeDocument/2006/extended-properties" xmlns:vt="http://schemas.openxmlformats.org/officeDocument/2006/docPropsVTypes">
  <Template>Normal.dotm</Template>
  <TotalTime>3</TotalTime>
  <Pages>2</Pages>
  <Words>969</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5</cp:revision>
  <dcterms:created xsi:type="dcterms:W3CDTF">2018-10-11T10:09:00Z</dcterms:created>
  <dcterms:modified xsi:type="dcterms:W3CDTF">2018-11-13T14:25:00Z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