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E240F" w14:textId="77777777" w:rsidR="00601929" w:rsidRPr="00991668" w:rsidRDefault="00601929" w:rsidP="00601929">
      <w:pPr>
        <w:pStyle w:val="Kop2"/>
        <w:rPr>
          <w:rFonts w:eastAsia="Calibri"/>
        </w:rPr>
      </w:pPr>
      <w:bookmarkStart w:id="0" w:name="_Toc527021610"/>
      <w:r w:rsidRPr="007038E4">
        <w:t>Exemple de lettre de mission de la personne chargée de la revue de contrôle qualité de la mission (EQCR)</w:t>
      </w:r>
      <w:bookmarkEnd w:id="0"/>
    </w:p>
    <w:p w14:paraId="532A20A0"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i/>
          <w:noProof/>
          <w:color w:val="000000"/>
        </w:rPr>
      </w:pPr>
      <w:r w:rsidRPr="00991668">
        <w:rPr>
          <w:rFonts w:eastAsia="Times New Roman"/>
          <w:i/>
          <w:noProof/>
          <w:color w:val="000000"/>
        </w:rPr>
        <w:t xml:space="preserve">La lettre suivante est donnée à titre d’exemple pour une mission de revue de contrôle qualité de la mission dans le cadre de l’application de la norme ISQC 1 et de la loi du 7 décembre 2016 portant organisation de la profession et de la supervision publique des réviseurs d’entreprises (ci-après « loi du 7 décembre 2016 »). Cet exemple de lettre n’a pas de caractère contraignant mais a pour but de servir uniquement de cadre et nécessitera d’être adapté selon les exigences et circonstances individuelles. </w:t>
      </w:r>
    </w:p>
    <w:p w14:paraId="1232776A"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i/>
          <w:noProof/>
          <w:color w:val="000000"/>
        </w:rPr>
      </w:pPr>
    </w:p>
    <w:p w14:paraId="351BD674"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Cher Confrère/Chère Consoeur [</w:t>
      </w:r>
      <w:r w:rsidRPr="00991668">
        <w:rPr>
          <w:rFonts w:eastAsia="Times New Roman"/>
          <w:noProof/>
          <w:color w:val="000000"/>
          <w:highlight w:val="yellow"/>
        </w:rPr>
        <w:t>réviseur d’entreprises</w:t>
      </w:r>
      <w:r w:rsidRPr="00991668">
        <w:rPr>
          <w:rFonts w:eastAsia="Times New Roman"/>
          <w:noProof/>
          <w:color w:val="000000"/>
        </w:rPr>
        <w:t>]</w:t>
      </w:r>
      <w:r w:rsidRPr="00991668">
        <w:rPr>
          <w:rFonts w:eastAsia="Times New Roman"/>
          <w:noProof/>
          <w:color w:val="000000"/>
          <w:vertAlign w:val="superscript"/>
        </w:rPr>
        <w:footnoteReference w:id="1"/>
      </w:r>
      <w:r w:rsidRPr="00991668">
        <w:rPr>
          <w:rFonts w:eastAsia="Times New Roman"/>
          <w:noProof/>
          <w:color w:val="000000"/>
        </w:rPr>
        <w:t>,</w:t>
      </w:r>
    </w:p>
    <w:p w14:paraId="07FEFBC8"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Comme suite à notre aimable entretien relatif à l’accomplissement d’une mission de revue de contrôle qualité de la mission dans le cadre de l’application de la norme ISQC 1 et de la loi du 7 décembre 2016 portant organisation de la profession et de la supervision publique des réviseurs d’entreprises (ci-après « loi du 7 décembre 2016 »), nous souhaitons vous apporter quelques précisions destinées à fixer clairement les conditions dans lesquelles il nous serait possible d’exercer la mission. </w:t>
      </w:r>
    </w:p>
    <w:p w14:paraId="5C0DE0C0"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iCs/>
          <w:noProof/>
          <w:color w:val="000000"/>
        </w:rPr>
      </w:pPr>
      <w:r w:rsidRPr="00991668">
        <w:rPr>
          <w:rFonts w:eastAsia="Times New Roman"/>
          <w:bCs/>
          <w:noProof/>
          <w:color w:val="000000"/>
        </w:rPr>
        <w:t>Nous exécuterons notre mission avec toute la diligence requise et conformément aux règles professionnelles et aux dispositions légales applicables et, en particulier</w:t>
      </w:r>
      <w:r w:rsidRPr="00991668">
        <w:rPr>
          <w:rFonts w:eastAsia="Times New Roman"/>
          <w:noProof/>
          <w:color w:val="000000"/>
        </w:rPr>
        <w:t xml:space="preserve"> à la norme ISQC 1 (notamment les § 35 à 42)</w:t>
      </w:r>
      <w:r w:rsidRPr="00991668">
        <w:rPr>
          <w:rFonts w:eastAsia="Times New Roman"/>
          <w:iCs/>
          <w:noProof/>
          <w:color w:val="000000"/>
        </w:rPr>
        <w:t xml:space="preserve">, laquelle détermine la portée et les caractéristiques essentielles de cette mission. </w:t>
      </w:r>
      <w:r w:rsidRPr="00991668">
        <w:rPr>
          <w:rFonts w:eastAsia="Times New Roman"/>
          <w:bCs/>
          <w:noProof/>
          <w:color w:val="000000"/>
        </w:rPr>
        <w:t>Sauf disposition contraire de la loi ou des règles professionnelles, cette mission comporte une obligation de moyen et non de résultat.</w:t>
      </w:r>
    </w:p>
    <w:p w14:paraId="1B740F54"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Notre mission vise à effectuer une revue de la qualité de vos </w:t>
      </w:r>
      <w:r w:rsidRPr="00991668">
        <w:rPr>
          <w:rFonts w:eastAsia="Times New Roman"/>
          <w:noProof/>
          <w:color w:val="000000"/>
          <w:highlight w:val="yellow"/>
        </w:rPr>
        <w:t>audits d’états financiers des entités d’intérêt public/des sociétés cotées sur un marché non réglementé</w:t>
      </w:r>
      <w:r w:rsidRPr="00991668">
        <w:rPr>
          <w:rFonts w:eastAsia="Times New Roman"/>
          <w:noProof/>
          <w:color w:val="000000"/>
        </w:rPr>
        <w:t xml:space="preserve"> </w:t>
      </w:r>
      <w:r w:rsidRPr="00991668">
        <w:rPr>
          <w:rFonts w:eastAsia="Times New Roman"/>
          <w:noProof/>
          <w:color w:val="000000"/>
          <w:highlight w:val="yellow"/>
        </w:rPr>
        <w:t>et/ou audits de […]/examens limités […]</w:t>
      </w:r>
      <w:r w:rsidRPr="00991668">
        <w:rPr>
          <w:rFonts w:eastAsia="Times New Roman"/>
          <w:noProof/>
          <w:color w:val="000000"/>
        </w:rPr>
        <w:t xml:space="preserve"> </w:t>
      </w:r>
      <w:r w:rsidRPr="00991668">
        <w:rPr>
          <w:rFonts w:eastAsia="Times New Roman"/>
          <w:noProof/>
          <w:color w:val="000000"/>
          <w:highlight w:val="yellow"/>
        </w:rPr>
        <w:t>qui répondent aux critères suivants : […].</w:t>
      </w:r>
      <w:r w:rsidRPr="00991668">
        <w:rPr>
          <w:rFonts w:eastAsia="Times New Roman"/>
          <w:noProof/>
          <w:color w:val="000000"/>
        </w:rPr>
        <w:t xml:space="preserve">  </w:t>
      </w:r>
    </w:p>
    <w:p w14:paraId="4E7CBA5E"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Cette mission de revue consiste à évaluer de façon objective, à la date du rapport ou avant, les jugements importants exercés par l’équipe affectée à la mission et les conclusions auxquelles elle est parvenue aux fins de la formulation du rapport.</w:t>
      </w:r>
    </w:p>
    <w:p w14:paraId="22069279"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La date du rapport de la/des mission(s) contrôlée(s) ne sera pas antérieure à l’achèvement de la présente mission. </w:t>
      </w:r>
    </w:p>
    <w:p w14:paraId="712DFC21"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La mission de revue comportera : </w:t>
      </w:r>
    </w:p>
    <w:p w14:paraId="0C2E6578" w14:textId="77777777" w:rsidR="00601929" w:rsidRPr="00991668" w:rsidRDefault="00601929" w:rsidP="00601929">
      <w:pPr>
        <w:numPr>
          <w:ilvl w:val="0"/>
          <w:numId w:val="1"/>
        </w:num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des entretiens avec l’associé responsable de la mission portant sur les questions importantes ; </w:t>
      </w:r>
    </w:p>
    <w:p w14:paraId="6AF75A39" w14:textId="77777777" w:rsidR="00601929" w:rsidRPr="00991668" w:rsidRDefault="00601929" w:rsidP="00601929">
      <w:pPr>
        <w:numPr>
          <w:ilvl w:val="0"/>
          <w:numId w:val="1"/>
        </w:num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La revue des états financiers ou autres sujets considérés sur lesquels a porté la mission contrôlée, etdu projet de rapport ; </w:t>
      </w:r>
    </w:p>
    <w:p w14:paraId="2E4D2E4D" w14:textId="77777777" w:rsidR="00601929" w:rsidRPr="00991668" w:rsidRDefault="00601929" w:rsidP="00601929">
      <w:pPr>
        <w:numPr>
          <w:ilvl w:val="0"/>
          <w:numId w:val="1"/>
        </w:num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La revue de la documentation sélectionnée portant sur la mission contrôlée et relative aux jugements importants exercés par l’équipe affectée à la mission et des conclusions auxquelles elle a abouti ; et</w:t>
      </w:r>
    </w:p>
    <w:p w14:paraId="61F60188" w14:textId="77777777" w:rsidR="00601929" w:rsidRPr="00991668" w:rsidRDefault="00601929" w:rsidP="00601929">
      <w:pPr>
        <w:numPr>
          <w:ilvl w:val="0"/>
          <w:numId w:val="1"/>
        </w:num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Une évaluation des conclusions tirées aux fins de la formulation du rapport et une appréciation du caractère approprié ou non du rapport proposé. </w:t>
      </w:r>
    </w:p>
    <w:p w14:paraId="35A5BC23"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Pour l’audit d’états financiers des entités d’intérêt public, notre mission de revue prendra en compte également les points suivants :</w:t>
      </w:r>
    </w:p>
    <w:p w14:paraId="322F5C9D" w14:textId="77777777" w:rsidR="00601929" w:rsidRPr="00991668" w:rsidRDefault="00601929" w:rsidP="00601929">
      <w:pPr>
        <w:numPr>
          <w:ilvl w:val="0"/>
          <w:numId w:val="1"/>
        </w:num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lastRenderedPageBreak/>
        <w:t>L’évaluation que l’équipe affectée à la mission a faite de l’indépendance du cabinet par rapport à la mission spécifique ;</w:t>
      </w:r>
    </w:p>
    <w:p w14:paraId="5E00BAF7" w14:textId="77777777" w:rsidR="00601929" w:rsidRPr="00991668" w:rsidRDefault="00601929" w:rsidP="00601929">
      <w:pPr>
        <w:numPr>
          <w:ilvl w:val="0"/>
          <w:numId w:val="1"/>
        </w:num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Si des consultations appropriées ont eu lieu sur des sujets ayant entraîné des divergences d’opinion ou sur d’autres sujets difficiles ou controversés, et les conclusions tirées de ces consultations ; et </w:t>
      </w:r>
    </w:p>
    <w:p w14:paraId="5D117DF4" w14:textId="77777777" w:rsidR="00601929" w:rsidRPr="00991668" w:rsidRDefault="00601929" w:rsidP="00601929">
      <w:pPr>
        <w:numPr>
          <w:ilvl w:val="0"/>
          <w:numId w:val="1"/>
        </w:num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Si la documentation sélectionnée pour la revue reflète le travail effectué par rapport aux jugements importants exercés et étayent les conclusions dégagées. </w:t>
      </w:r>
    </w:p>
    <w:p w14:paraId="0319ECE2" w14:textId="77777777" w:rsidR="00601929"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ED0012">
        <w:rPr>
          <w:rFonts w:eastAsia="Times New Roman"/>
          <w:noProof/>
          <w:color w:val="000000"/>
        </w:rPr>
        <w:t>La revue fera l’objet d’une documentation suffisante, basée par exemple sur la checklist Revue de contrôle qualité telle que proposée par l’ICCI (cf. Manuel relatif au système interne de contrôle qualité).</w:t>
      </w:r>
    </w:p>
    <w:p w14:paraId="14A15B84"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Le bon exercice de notre mission est conditionné par la collaboration que </w:t>
      </w:r>
      <w:r w:rsidRPr="00991668">
        <w:rPr>
          <w:rFonts w:eastAsia="Times New Roman"/>
          <w:noProof/>
          <w:color w:val="000000"/>
          <w:highlight w:val="yellow"/>
        </w:rPr>
        <w:t>l’/les associé(s) responsable(s)</w:t>
      </w:r>
      <w:r w:rsidRPr="00991668">
        <w:rPr>
          <w:rFonts w:eastAsia="Times New Roman"/>
          <w:noProof/>
          <w:color w:val="000000"/>
        </w:rPr>
        <w:t xml:space="preserve"> des missions contrôlées </w:t>
      </w:r>
      <w:r w:rsidRPr="00991668">
        <w:rPr>
          <w:rFonts w:eastAsia="Times New Roman"/>
          <w:noProof/>
          <w:color w:val="000000"/>
          <w:highlight w:val="yellow"/>
        </w:rPr>
        <w:t>voudra/voudront</w:t>
      </w:r>
      <w:r w:rsidRPr="00991668">
        <w:rPr>
          <w:rFonts w:eastAsia="Times New Roman"/>
          <w:noProof/>
          <w:color w:val="000000"/>
        </w:rPr>
        <w:t xml:space="preserve"> bien nous accorder, d’autant plus que la responsabilité entière pour </w:t>
      </w:r>
      <w:r w:rsidRPr="00991668">
        <w:rPr>
          <w:rFonts w:eastAsia="Times New Roman"/>
          <w:noProof/>
          <w:color w:val="000000"/>
          <w:highlight w:val="yellow"/>
        </w:rPr>
        <w:t>la réalisation de la mission contrôlée/l’établissement du rapport</w:t>
      </w:r>
      <w:r w:rsidRPr="00991668">
        <w:rPr>
          <w:rFonts w:eastAsia="Times New Roman"/>
          <w:noProof/>
          <w:color w:val="000000"/>
        </w:rPr>
        <w:t xml:space="preserve"> repose entre les mains de </w:t>
      </w:r>
      <w:r w:rsidRPr="00991668">
        <w:rPr>
          <w:rFonts w:eastAsia="Times New Roman"/>
          <w:noProof/>
          <w:color w:val="000000"/>
          <w:highlight w:val="yellow"/>
        </w:rPr>
        <w:t>celui-ci/ceux-ci</w:t>
      </w:r>
      <w:r w:rsidRPr="00991668">
        <w:rPr>
          <w:rFonts w:eastAsia="Times New Roman"/>
          <w:noProof/>
          <w:color w:val="000000"/>
        </w:rPr>
        <w:t>.</w:t>
      </w:r>
    </w:p>
    <w:p w14:paraId="0D40A063"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Notre mission aura une durée de maximum </w:t>
      </w:r>
      <w:r w:rsidRPr="00991668">
        <w:rPr>
          <w:rFonts w:eastAsia="Times New Roman"/>
          <w:noProof/>
          <w:color w:val="000000"/>
          <w:highlight w:val="yellow"/>
        </w:rPr>
        <w:t>[…]</w:t>
      </w:r>
      <w:r w:rsidRPr="00991668">
        <w:rPr>
          <w:rFonts w:eastAsia="Times New Roman"/>
          <w:noProof/>
          <w:color w:val="000000"/>
        </w:rPr>
        <w:t xml:space="preserve"> ans, renouvelable. Elle prendra cours à la date </w:t>
      </w:r>
      <w:r w:rsidRPr="00991668">
        <w:rPr>
          <w:rFonts w:eastAsia="Times New Roman"/>
          <w:noProof/>
          <w:color w:val="000000"/>
          <w:highlight w:val="yellow"/>
        </w:rPr>
        <w:t>de la décision de l’organe de gestion qui nous désignera</w:t>
      </w:r>
      <w:r w:rsidRPr="00991668">
        <w:rPr>
          <w:rFonts w:eastAsia="Times New Roman"/>
          <w:noProof/>
          <w:color w:val="000000"/>
        </w:rPr>
        <w:t xml:space="preserve"> </w:t>
      </w:r>
      <w:r w:rsidRPr="00991668">
        <w:rPr>
          <w:rFonts w:eastAsia="Times New Roman"/>
          <w:noProof/>
          <w:color w:val="000000"/>
          <w:highlight w:val="yellow"/>
        </w:rPr>
        <w:t>/inscrite dans le planning de mission</w:t>
      </w:r>
      <w:r w:rsidRPr="00991668">
        <w:rPr>
          <w:rFonts w:eastAsia="Times New Roman"/>
          <w:noProof/>
          <w:color w:val="000000"/>
        </w:rPr>
        <w:t xml:space="preserve">. </w:t>
      </w:r>
    </w:p>
    <w:p w14:paraId="0355C0BF"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Notre rémunération couvrant la charge de cette mission de revue consiste en </w:t>
      </w:r>
      <w:r w:rsidRPr="00991668">
        <w:rPr>
          <w:rFonts w:eastAsia="Times New Roman"/>
          <w:noProof/>
          <w:color w:val="000000"/>
          <w:highlight w:val="yellow"/>
        </w:rPr>
        <w:t>une somme fixe qui sera de ... EUR</w:t>
      </w:r>
      <w:r w:rsidRPr="00991668">
        <w:rPr>
          <w:rFonts w:eastAsia="Times New Roman"/>
          <w:noProof/>
          <w:color w:val="000000"/>
        </w:rPr>
        <w:t xml:space="preserve"> (hors T.V.A.). Il est convenu que notre cabinet vous adressera sa facture après la réalisation de la mission. </w:t>
      </w:r>
    </w:p>
    <w:p w14:paraId="0BD01D81"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Le montant mentionné ci-dessus fera l’objet d’une indexation annuelle en fonction de l’augmentation annuelle de l’indice des prix. </w:t>
      </w:r>
    </w:p>
    <w:p w14:paraId="4A08A798"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Notre mission fait partie intégrante de la mission d’audit et est donc soumise, à l’égard des tiers, au même plafonnement de responsabilité que celui applicable à la mission faisant l’objet de la revue de contrôle qualité.</w:t>
      </w:r>
    </w:p>
    <w:p w14:paraId="491241DE"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bCs/>
          <w:noProof/>
          <w:color w:val="000000"/>
        </w:rPr>
      </w:pPr>
      <w:r w:rsidRPr="00991668">
        <w:rPr>
          <w:rFonts w:eastAsia="Times New Roman"/>
          <w:bCs/>
          <w:noProof/>
          <w:color w:val="000000"/>
        </w:rPr>
        <w:t>Vous devrez vérifier que votre cabinet est couvert pour la mission de revue de contrôle qualité de la mission, avant que la mission ne puisse commencer.</w:t>
      </w:r>
    </w:p>
    <w:p w14:paraId="5C75BEB5"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Nous vous confirmons que nous sommes adéquatement couverts par notre propre police d’assurance en ce qui concerne la présente relation contractuelle avec vous. </w:t>
      </w:r>
    </w:p>
    <w:p w14:paraId="2C221686"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Nous vous confirmons que nous sommes couverts</w:t>
      </w:r>
      <w:r w:rsidRPr="00991668">
        <w:rPr>
          <w:rFonts w:eastAsia="Times New Roman"/>
          <w:noProof/>
          <w:color w:val="000000"/>
          <w:vertAlign w:val="superscript"/>
        </w:rPr>
        <w:footnoteReference w:id="2"/>
      </w:r>
      <w:r w:rsidRPr="00991668">
        <w:rPr>
          <w:rFonts w:eastAsia="Times New Roman"/>
          <w:noProof/>
          <w:color w:val="000000"/>
        </w:rPr>
        <w:t> :</w:t>
      </w:r>
    </w:p>
    <w:p w14:paraId="32C6D451" w14:textId="075873B1" w:rsidR="00601929" w:rsidRPr="00991668" w:rsidRDefault="00601929" w:rsidP="00601929">
      <w:pPr>
        <w:numPr>
          <w:ilvl w:val="0"/>
          <w:numId w:val="2"/>
        </w:numPr>
        <w:overflowPunct w:val="0"/>
        <w:autoSpaceDE w:val="0"/>
        <w:autoSpaceDN w:val="0"/>
        <w:adjustRightInd w:val="0"/>
        <w:spacing w:before="220" w:after="0" w:line="240" w:lineRule="auto"/>
        <w:contextualSpacing/>
        <w:jc w:val="both"/>
        <w:textAlignment w:val="baseline"/>
        <w:rPr>
          <w:rFonts w:eastAsia="Times New Roman"/>
          <w:noProof/>
          <w:color w:val="000000"/>
        </w:rPr>
      </w:pPr>
      <w:r w:rsidRPr="00991668">
        <w:rPr>
          <w:rFonts w:eastAsia="Times New Roman"/>
          <w:noProof/>
          <w:color w:val="000000"/>
        </w:rPr>
        <w:t>pour effectuer l’audit et l’examen limité d’états financiers d’entités d’intérêt public au sens  de l’article 4/1 du Code des sociétés</w:t>
      </w:r>
      <w:r w:rsidR="004D1A0D">
        <w:rPr>
          <w:rFonts w:eastAsia="Times New Roman"/>
          <w:noProof/>
          <w:color w:val="000000"/>
        </w:rPr>
        <w:t>/</w:t>
      </w:r>
      <w:r w:rsidR="004D1A0D" w:rsidRPr="005C7881">
        <w:rPr>
          <w:rFonts w:eastAsia="Times New Roman"/>
          <w:noProof/>
          <w:color w:val="000000"/>
        </w:rPr>
        <w:t>article 1:12</w:t>
      </w:r>
      <w:r w:rsidR="004D1A0D">
        <w:rPr>
          <w:rFonts w:eastAsia="Times New Roman"/>
          <w:noProof/>
          <w:color w:val="000000"/>
        </w:rPr>
        <w:t xml:space="preserve"> du Code des sociétés et associations</w:t>
      </w:r>
      <w:r w:rsidRPr="00991668">
        <w:rPr>
          <w:rFonts w:eastAsia="Times New Roman"/>
          <w:noProof/>
          <w:color w:val="000000"/>
        </w:rPr>
        <w:t>, s’agissant d’une mission réservée aux réviseurs d’entreprises par la loi, à concurrence de 12 millions EUR en vertu de l'art. 24 de la loi du 7 décembre 2016 ;</w:t>
      </w:r>
    </w:p>
    <w:p w14:paraId="10CC05C4" w14:textId="77777777" w:rsidR="00601929" w:rsidRPr="00991668" w:rsidRDefault="00601929" w:rsidP="00601929">
      <w:pPr>
        <w:numPr>
          <w:ilvl w:val="0"/>
          <w:numId w:val="2"/>
        </w:numPr>
        <w:overflowPunct w:val="0"/>
        <w:autoSpaceDE w:val="0"/>
        <w:autoSpaceDN w:val="0"/>
        <w:adjustRightInd w:val="0"/>
        <w:spacing w:before="220" w:after="0" w:line="240" w:lineRule="auto"/>
        <w:contextualSpacing/>
        <w:jc w:val="both"/>
        <w:textAlignment w:val="baseline"/>
        <w:rPr>
          <w:rFonts w:eastAsia="Times New Roman"/>
          <w:noProof/>
          <w:color w:val="000000"/>
        </w:rPr>
      </w:pPr>
      <w:r w:rsidRPr="00991668">
        <w:rPr>
          <w:rFonts w:eastAsia="Times New Roman"/>
          <w:noProof/>
          <w:color w:val="000000"/>
        </w:rPr>
        <w:t>pour effectuer l’audit et l’examen limité d’états financiers de sociétés cotées sur un marché non réglementé s’agissant également d’une mission réservée aux réviseurs d’entreprises par la loi, à concurrence de 3 millions EUR en vertu de l'art. 24 de la loi du 7 décembre 2016  ;</w:t>
      </w:r>
    </w:p>
    <w:p w14:paraId="7E05D79D" w14:textId="77777777" w:rsidR="00601929" w:rsidRPr="00991668" w:rsidRDefault="00601929" w:rsidP="00601929">
      <w:pPr>
        <w:numPr>
          <w:ilvl w:val="0"/>
          <w:numId w:val="2"/>
        </w:numPr>
        <w:overflowPunct w:val="0"/>
        <w:autoSpaceDE w:val="0"/>
        <w:autoSpaceDN w:val="0"/>
        <w:adjustRightInd w:val="0"/>
        <w:spacing w:before="220" w:after="0" w:line="240" w:lineRule="auto"/>
        <w:contextualSpacing/>
        <w:jc w:val="both"/>
        <w:textAlignment w:val="baseline"/>
        <w:rPr>
          <w:rFonts w:eastAsia="Times New Roman"/>
          <w:noProof/>
          <w:color w:val="000000"/>
        </w:rPr>
      </w:pPr>
      <w:r w:rsidRPr="00991668">
        <w:rPr>
          <w:rFonts w:eastAsia="Times New Roman"/>
          <w:noProof/>
          <w:color w:val="000000"/>
        </w:rPr>
        <w:t>pour effectuer les audits ou examens limités d'autres entités, dès lors que la mission est confiée par la loi à un réviseur d'entreprises (par exemple en sa qualité de commissaire) et qui sur la base des critères adoptés par le cabinet de révision et visant à déterminer les missions nécessitant une revue de contrôle qualité, ainsi que requis par le paragraphe 35 (b) de la norme ISQC 1, doivent faire l’objet d’une telle revue de contrôle qualité de la mission (paragraphe 35 (c) de la norme ISQC 1), à concurrence de 3 millions EUR en vertu de l'art. 24 de la loi du 7 décembre 2016  ;</w:t>
      </w:r>
    </w:p>
    <w:p w14:paraId="412D90B4" w14:textId="77777777" w:rsidR="00601929" w:rsidRPr="00991668" w:rsidRDefault="00601929" w:rsidP="00601929">
      <w:pPr>
        <w:numPr>
          <w:ilvl w:val="0"/>
          <w:numId w:val="2"/>
        </w:numPr>
        <w:overflowPunct w:val="0"/>
        <w:autoSpaceDE w:val="0"/>
        <w:autoSpaceDN w:val="0"/>
        <w:adjustRightInd w:val="0"/>
        <w:spacing w:before="220" w:after="0" w:line="240" w:lineRule="auto"/>
        <w:contextualSpacing/>
        <w:jc w:val="both"/>
        <w:textAlignment w:val="baseline"/>
        <w:rPr>
          <w:rFonts w:eastAsia="Times New Roman"/>
          <w:noProof/>
          <w:color w:val="000000"/>
        </w:rPr>
      </w:pPr>
      <w:r w:rsidRPr="00991668">
        <w:rPr>
          <w:rFonts w:eastAsia="Times New Roman"/>
          <w:noProof/>
          <w:color w:val="000000"/>
        </w:rPr>
        <w:t xml:space="preserve">pour effectuer toutes les autres missions confiées à un réviseur d’entreprises sur une base strictement contractuelle, c’est-à-dire en dehors de toute obligation légale, à concurrence de </w:t>
      </w:r>
      <w:r w:rsidRPr="002B4488">
        <w:rPr>
          <w:rFonts w:eastAsia="Times New Roman"/>
          <w:noProof/>
          <w:color w:val="000000"/>
          <w:highlight w:val="yellow"/>
        </w:rPr>
        <w:t>[…]</w:t>
      </w:r>
      <w:r w:rsidRPr="00991668">
        <w:rPr>
          <w:rFonts w:eastAsia="Times New Roman"/>
          <w:noProof/>
          <w:color w:val="000000"/>
        </w:rPr>
        <w:t xml:space="preserve"> EUR. </w:t>
      </w:r>
    </w:p>
    <w:p w14:paraId="0C152E2C"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[En cas de litige relatif à la validité, à l’interprétation ou à l’exécution de la présente convention, qui ne pourrait être résolu à l’amiable et à l’exception des litiges à propos des émoluments, nous tenterons de </w:t>
      </w:r>
      <w:r w:rsidRPr="00991668">
        <w:rPr>
          <w:rFonts w:eastAsia="Times New Roman"/>
          <w:noProof/>
          <w:color w:val="000000"/>
        </w:rPr>
        <w:lastRenderedPageBreak/>
        <w:t>résoudre avec vous ce litige par la médiation. Nous désignerons avec vous un médiateur parmi les médiateurs agréés par la Commission fédérale de médiation.</w:t>
      </w:r>
    </w:p>
    <w:p w14:paraId="23990D3A"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La médiation débutera au plus tard </w:t>
      </w:r>
      <w:r w:rsidRPr="00991668">
        <w:rPr>
          <w:rFonts w:eastAsia="Times New Roman"/>
          <w:noProof/>
          <w:color w:val="000000"/>
          <w:highlight w:val="yellow"/>
        </w:rPr>
        <w:t>15</w:t>
      </w:r>
      <w:r w:rsidRPr="00991668">
        <w:rPr>
          <w:rFonts w:eastAsia="Times New Roman"/>
          <w:noProof/>
          <w:color w:val="000000"/>
        </w:rPr>
        <w:t xml:space="preserve"> jours après la demande de médiation notifiée par nous ou par vous et la durée de médiation ne peut excéder </w:t>
      </w:r>
      <w:r w:rsidRPr="00991668">
        <w:rPr>
          <w:rFonts w:eastAsia="Times New Roman"/>
          <w:noProof/>
          <w:color w:val="000000"/>
          <w:highlight w:val="yellow"/>
        </w:rPr>
        <w:t>15</w:t>
      </w:r>
      <w:r w:rsidRPr="00991668">
        <w:rPr>
          <w:rFonts w:eastAsia="Times New Roman"/>
          <w:noProof/>
          <w:color w:val="000000"/>
        </w:rPr>
        <w:t xml:space="preserve"> jours, sauf accord exprès entre nous.</w:t>
      </w:r>
    </w:p>
    <w:p w14:paraId="419D293C"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En cas d’échec de la médiation, le litige sera soumis à l’arbitrage, conformément </w:t>
      </w:r>
      <w:r w:rsidRPr="00991668">
        <w:rPr>
          <w:rFonts w:eastAsia="Times New Roman"/>
          <w:noProof/>
          <w:color w:val="000000"/>
          <w:highlight w:val="yellow"/>
        </w:rPr>
        <w:t>………………</w:t>
      </w:r>
      <w:r w:rsidRPr="00991668">
        <w:rPr>
          <w:rFonts w:eastAsia="Times New Roman"/>
          <w:noProof/>
          <w:color w:val="000000"/>
        </w:rPr>
        <w:t>.]</w:t>
      </w:r>
    </w:p>
    <w:p w14:paraId="4543C15B"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 xml:space="preserve">Conformément à la déontologie de notre profession, vous notez et acceptez que nous pourrons prendre contact à tout moment avec le confrère qui exerce actuellement les mêmes fonctions. </w:t>
      </w:r>
    </w:p>
    <w:p w14:paraId="535DA2BD"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Nous tenons à vous remercier très sincèrement d’avoir consulté notre cabinet en vue de lui confier cette mission et vous prions de bien vouloir signer et nous retourner l'exemplaire ci-joint de cette lettre, avec la mention « pour accord », afin d'accuser réception de la présente et de marquer votre accord sur les termes et conditions de notre mission de revue de contrôle qualité de vos missions, y compris de nos responsabilités respectives.</w:t>
      </w:r>
    </w:p>
    <w:p w14:paraId="4A390EF7" w14:textId="77777777" w:rsidR="00601929" w:rsidRPr="00991668" w:rsidRDefault="00601929" w:rsidP="00601929">
      <w:pPr>
        <w:spacing w:after="0" w:line="240" w:lineRule="auto"/>
        <w:jc w:val="both"/>
        <w:rPr>
          <w:rFonts w:eastAsia="Times New Roman"/>
        </w:rPr>
      </w:pPr>
    </w:p>
    <w:p w14:paraId="09FFFF90"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Nous vous prions d’agréer, Cher Confrère/Chère Consoeur, l’expression de nos sincères salutations,</w:t>
      </w:r>
    </w:p>
    <w:p w14:paraId="3CFBE505" w14:textId="77777777" w:rsidR="00601929" w:rsidRPr="00991668" w:rsidRDefault="00601929" w:rsidP="00601929">
      <w:pPr>
        <w:spacing w:after="0" w:line="240" w:lineRule="auto"/>
        <w:jc w:val="both"/>
        <w:rPr>
          <w:rFonts w:eastAsia="Times New Roman"/>
        </w:rPr>
      </w:pPr>
    </w:p>
    <w:p w14:paraId="268DC304" w14:textId="77777777" w:rsidR="00601929" w:rsidRPr="00991668" w:rsidRDefault="00601929" w:rsidP="00601929">
      <w:pPr>
        <w:spacing w:after="0" w:line="240" w:lineRule="auto"/>
        <w:jc w:val="both"/>
        <w:rPr>
          <w:rFonts w:eastAsia="Times New Roman"/>
        </w:rPr>
      </w:pPr>
    </w:p>
    <w:p w14:paraId="277F2DE5" w14:textId="77777777" w:rsidR="00601929" w:rsidRPr="00991668" w:rsidRDefault="00601929" w:rsidP="00601929">
      <w:pPr>
        <w:spacing w:after="0" w:line="240" w:lineRule="auto"/>
        <w:jc w:val="both"/>
        <w:rPr>
          <w:rFonts w:eastAsia="Times New Roman"/>
        </w:rPr>
      </w:pPr>
    </w:p>
    <w:p w14:paraId="551081EE"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highlight w:val="yellow"/>
        </w:rPr>
      </w:pPr>
      <w:r w:rsidRPr="00991668">
        <w:rPr>
          <w:rFonts w:eastAsia="Times New Roman"/>
          <w:noProof/>
          <w:color w:val="000000"/>
        </w:rPr>
        <w:t xml:space="preserve">X </w:t>
      </w:r>
      <w:r w:rsidRPr="00991668">
        <w:rPr>
          <w:rFonts w:eastAsia="Times New Roman"/>
          <w:noProof/>
          <w:color w:val="000000"/>
          <w:highlight w:val="yellow"/>
        </w:rPr>
        <w:t>[réviseur d’entreprises</w:t>
      </w:r>
      <w:r w:rsidRPr="00991668">
        <w:rPr>
          <w:rFonts w:eastAsia="Times New Roman"/>
          <w:bCs/>
          <w:noProof/>
          <w:color w:val="000000"/>
          <w:highlight w:val="yellow"/>
        </w:rPr>
        <w:t>]</w:t>
      </w:r>
    </w:p>
    <w:p w14:paraId="75557C32" w14:textId="77777777" w:rsidR="00601929" w:rsidRPr="00991668" w:rsidRDefault="00601929" w:rsidP="00601929">
      <w:pPr>
        <w:overflowPunct w:val="0"/>
        <w:autoSpaceDE w:val="0"/>
        <w:autoSpaceDN w:val="0"/>
        <w:adjustRightInd w:val="0"/>
        <w:spacing w:after="0" w:line="240" w:lineRule="auto"/>
        <w:jc w:val="both"/>
        <w:textAlignment w:val="baseline"/>
        <w:rPr>
          <w:rFonts w:eastAsia="Times New Roman"/>
          <w:noProof/>
          <w:color w:val="000000"/>
        </w:rPr>
      </w:pPr>
      <w:r w:rsidRPr="00991668">
        <w:rPr>
          <w:rFonts w:eastAsia="Times New Roman"/>
          <w:noProof/>
          <w:color w:val="000000"/>
          <w:highlight w:val="yellow"/>
        </w:rPr>
        <w:t>Représentant du cabinet de révision</w:t>
      </w:r>
    </w:p>
    <w:p w14:paraId="6B8A8A37" w14:textId="77777777" w:rsidR="00601929" w:rsidRPr="00991668" w:rsidRDefault="00601929" w:rsidP="00601929">
      <w:pPr>
        <w:spacing w:after="0" w:line="240" w:lineRule="auto"/>
        <w:rPr>
          <w:rFonts w:eastAsia="Times New Roman"/>
          <w:b/>
          <w:bCs/>
        </w:rPr>
      </w:pPr>
    </w:p>
    <w:p w14:paraId="3CE54A28" w14:textId="77777777" w:rsidR="00601929" w:rsidRPr="00991668" w:rsidRDefault="00601929" w:rsidP="00601929">
      <w:pPr>
        <w:spacing w:after="0" w:line="240" w:lineRule="auto"/>
        <w:rPr>
          <w:rFonts w:eastAsia="Times New Roman"/>
        </w:rPr>
      </w:pPr>
    </w:p>
    <w:p w14:paraId="435AA2D8" w14:textId="77777777" w:rsidR="00601929" w:rsidRPr="00991668" w:rsidRDefault="00601929" w:rsidP="00601929">
      <w:pPr>
        <w:overflowPunct w:val="0"/>
        <w:autoSpaceDE w:val="0"/>
        <w:autoSpaceDN w:val="0"/>
        <w:adjustRightInd w:val="0"/>
        <w:spacing w:before="220" w:after="0" w:line="240" w:lineRule="auto"/>
        <w:jc w:val="both"/>
        <w:textAlignment w:val="baseline"/>
        <w:rPr>
          <w:rFonts w:eastAsia="Times New Roman"/>
          <w:noProof/>
          <w:color w:val="000000"/>
        </w:rPr>
      </w:pPr>
      <w:r w:rsidRPr="00991668">
        <w:rPr>
          <w:rFonts w:eastAsia="Times New Roman"/>
          <w:noProof/>
          <w:color w:val="000000"/>
        </w:rPr>
        <w:t>X [</w:t>
      </w:r>
      <w:r w:rsidRPr="00991668">
        <w:rPr>
          <w:rFonts w:eastAsia="Times New Roman"/>
          <w:noProof/>
          <w:color w:val="000000"/>
          <w:highlight w:val="yellow"/>
        </w:rPr>
        <w:t>réviseur d’entreprises</w:t>
      </w:r>
      <w:r w:rsidRPr="00991668">
        <w:rPr>
          <w:rFonts w:eastAsia="Times New Roman"/>
          <w:bCs/>
          <w:noProof/>
          <w:color w:val="000000"/>
        </w:rPr>
        <w:t>]</w:t>
      </w:r>
    </w:p>
    <w:p w14:paraId="072608CC" w14:textId="77777777" w:rsidR="00601929" w:rsidRPr="00991668" w:rsidRDefault="00601929" w:rsidP="00601929">
      <w:pPr>
        <w:spacing w:after="0" w:line="240" w:lineRule="auto"/>
        <w:rPr>
          <w:rFonts w:eastAsia="Times New Roman"/>
        </w:rPr>
      </w:pPr>
      <w:r w:rsidRPr="00991668">
        <w:rPr>
          <w:rFonts w:eastAsia="Times New Roman"/>
        </w:rPr>
        <w:t>Pour accord :</w:t>
      </w:r>
    </w:p>
    <w:p w14:paraId="592C22CB" w14:textId="77777777" w:rsidR="00601929" w:rsidRPr="00991668" w:rsidRDefault="00601929" w:rsidP="00601929">
      <w:pPr>
        <w:spacing w:after="0" w:line="240" w:lineRule="auto"/>
        <w:rPr>
          <w:rFonts w:eastAsia="Times New Roman"/>
        </w:rPr>
      </w:pPr>
      <w:r w:rsidRPr="00991668">
        <w:rPr>
          <w:rFonts w:eastAsia="Times New Roman"/>
        </w:rPr>
        <w:t>(signature)</w:t>
      </w:r>
    </w:p>
    <w:p w14:paraId="0D3FB7CA" w14:textId="77777777" w:rsidR="00601929" w:rsidRPr="00991668" w:rsidRDefault="00601929" w:rsidP="00601929">
      <w:pPr>
        <w:spacing w:after="0" w:line="240" w:lineRule="auto"/>
        <w:rPr>
          <w:rFonts w:eastAsia="Times New Roman"/>
        </w:rPr>
      </w:pPr>
      <w:r w:rsidRPr="00991668">
        <w:rPr>
          <w:rFonts w:eastAsia="Times New Roman"/>
        </w:rPr>
        <w:t>Nom :</w:t>
      </w:r>
    </w:p>
    <w:p w14:paraId="607A8564" w14:textId="77777777" w:rsidR="00601929" w:rsidRPr="007038E4" w:rsidRDefault="00601929" w:rsidP="00601929">
      <w:pPr>
        <w:spacing w:after="0" w:line="240" w:lineRule="auto"/>
        <w:rPr>
          <w:rFonts w:eastAsia="Times New Roman"/>
        </w:rPr>
      </w:pPr>
      <w:r w:rsidRPr="00991668">
        <w:rPr>
          <w:rFonts w:eastAsia="Times New Roman"/>
        </w:rPr>
        <w:t xml:space="preserve">Date : </w:t>
      </w:r>
    </w:p>
    <w:p w14:paraId="575C3255" w14:textId="77777777" w:rsidR="00601929" w:rsidRPr="007038E4" w:rsidRDefault="00601929" w:rsidP="00601929">
      <w:pPr>
        <w:spacing w:before="120" w:after="120" w:line="312" w:lineRule="auto"/>
        <w:jc w:val="both"/>
        <w:rPr>
          <w:rFonts w:eastAsia="Times New Roman"/>
          <w:i/>
          <w:iCs/>
          <w:lang w:eastAsia="fr-BE"/>
        </w:rPr>
      </w:pPr>
    </w:p>
    <w:p w14:paraId="0703BB07" w14:textId="77777777" w:rsidR="00601929" w:rsidRPr="007038E4" w:rsidRDefault="00601929" w:rsidP="00601929">
      <w:pPr>
        <w:spacing w:before="120" w:after="120" w:line="312" w:lineRule="auto"/>
        <w:jc w:val="both"/>
        <w:rPr>
          <w:rFonts w:eastAsia="Times New Roman"/>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p>
    <w:sectPr w:rsidR="00601929" w:rsidRPr="007038E4" w:rsidSect="00F06C17">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418" w:left="1418" w:header="709" w:footer="70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1376E" w14:textId="77777777" w:rsidR="00601929" w:rsidRDefault="00601929" w:rsidP="00601929">
      <w:pPr>
        <w:spacing w:after="0" w:line="240" w:lineRule="auto"/>
      </w:pPr>
      <w:r>
        <w:separator/>
      </w:r>
    </w:p>
  </w:endnote>
  <w:endnote w:type="continuationSeparator" w:id="0">
    <w:p w14:paraId="5B8276DA" w14:textId="77777777" w:rsidR="00601929" w:rsidRDefault="00601929" w:rsidP="0060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6EAFC" w14:textId="77777777" w:rsidR="004D1A0D" w:rsidRDefault="004D1A0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857C8" w14:textId="0FFE2D37" w:rsidR="00F06C17" w:rsidRDefault="00500F17" w:rsidP="00F06C17">
    <w:pPr>
      <w:pStyle w:val="Voettekst"/>
      <w:jc w:val="right"/>
    </w:pPr>
    <w:r>
      <w:t xml:space="preserve">V </w:t>
    </w:r>
    <w:r w:rsidR="004D1A0D">
      <w:t>4</w:t>
    </w:r>
    <w:r>
      <w:t xml:space="preserve">.0 du </w:t>
    </w:r>
    <w:r w:rsidR="007B7591">
      <w:t>20</w:t>
    </w:r>
    <w:bookmarkStart w:id="1" w:name="_GoBack"/>
    <w:bookmarkEnd w:id="1"/>
    <w:r>
      <w:t>.11</w:t>
    </w:r>
    <w:r w:rsidR="00F06C17">
      <w:t>.201</w:t>
    </w:r>
    <w:r w:rsidR="004D1A0D">
      <w:t>9</w:t>
    </w:r>
    <w:r w:rsidR="00F06C17">
      <w:tab/>
    </w:r>
    <w:r w:rsidR="00F06C17">
      <w:tab/>
    </w:r>
    <w:r w:rsidR="00F06C17">
      <w:rPr>
        <w:lang w:val="fr-FR"/>
      </w:rPr>
      <w:t xml:space="preserve">Page </w:t>
    </w:r>
    <w:r w:rsidR="00F06C17">
      <w:rPr>
        <w:b/>
        <w:bCs/>
      </w:rPr>
      <w:fldChar w:fldCharType="begin"/>
    </w:r>
    <w:r w:rsidR="00F06C17">
      <w:rPr>
        <w:b/>
        <w:bCs/>
      </w:rPr>
      <w:instrText>PAGE  \* Arabic  \* MERGEFORMAT</w:instrText>
    </w:r>
    <w:r w:rsidR="00F06C17">
      <w:rPr>
        <w:b/>
        <w:bCs/>
      </w:rPr>
      <w:fldChar w:fldCharType="separate"/>
    </w:r>
    <w:r w:rsidR="00F06C17">
      <w:rPr>
        <w:b/>
        <w:bCs/>
      </w:rPr>
      <w:t>293</w:t>
    </w:r>
    <w:r w:rsidR="00F06C17">
      <w:rPr>
        <w:b/>
        <w:bCs/>
      </w:rPr>
      <w:fldChar w:fldCharType="end"/>
    </w:r>
    <w:r w:rsidR="00F06C17">
      <w:rPr>
        <w:lang w:val="fr-FR"/>
      </w:rPr>
      <w:t xml:space="preserve"> sur </w:t>
    </w:r>
    <w:r w:rsidR="00F06C17">
      <w:rPr>
        <w:b/>
        <w:bCs/>
      </w:rPr>
      <w:fldChar w:fldCharType="begin"/>
    </w:r>
    <w:r w:rsidR="00F06C17">
      <w:rPr>
        <w:b/>
        <w:bCs/>
      </w:rPr>
      <w:instrText>NUMPAGES  \* Arabic  \* MERGEFORMAT</w:instrText>
    </w:r>
    <w:r w:rsidR="00F06C17">
      <w:rPr>
        <w:b/>
        <w:bCs/>
      </w:rPr>
      <w:fldChar w:fldCharType="separate"/>
    </w:r>
    <w:r w:rsidR="00F06C17">
      <w:rPr>
        <w:b/>
        <w:bCs/>
      </w:rPr>
      <w:t>316</w:t>
    </w:r>
    <w:r w:rsidR="00F06C17">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F991" w14:textId="77777777" w:rsidR="004D1A0D" w:rsidRDefault="004D1A0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9F96D" w14:textId="77777777" w:rsidR="00601929" w:rsidRDefault="00601929" w:rsidP="00601929">
      <w:pPr>
        <w:spacing w:after="0" w:line="240" w:lineRule="auto"/>
      </w:pPr>
      <w:r>
        <w:separator/>
      </w:r>
    </w:p>
  </w:footnote>
  <w:footnote w:type="continuationSeparator" w:id="0">
    <w:p w14:paraId="5DB57F2C" w14:textId="77777777" w:rsidR="00601929" w:rsidRDefault="00601929" w:rsidP="00601929">
      <w:pPr>
        <w:spacing w:after="0" w:line="240" w:lineRule="auto"/>
      </w:pPr>
      <w:r>
        <w:continuationSeparator/>
      </w:r>
    </w:p>
  </w:footnote>
  <w:footnote w:id="1">
    <w:p w14:paraId="6DFEB9D8" w14:textId="77777777" w:rsidR="00601929" w:rsidRPr="00531D24" w:rsidRDefault="00601929" w:rsidP="00601929">
      <w:pPr>
        <w:pStyle w:val="Voetnoottekst"/>
        <w:rPr>
          <w:lang w:val="fr-BE"/>
        </w:rPr>
      </w:pPr>
      <w:r>
        <w:rPr>
          <w:rStyle w:val="Voetnootmarkering"/>
        </w:rPr>
        <w:footnoteRef/>
      </w:r>
      <w:r w:rsidRPr="00531D24">
        <w:rPr>
          <w:lang w:val="fr-BE"/>
        </w:rPr>
        <w:t xml:space="preserve"> </w:t>
      </w:r>
      <w:r>
        <w:rPr>
          <w:lang w:val="fr-BE"/>
        </w:rPr>
        <w:t xml:space="preserve">Les parties en jaune sont à compléter ou adapter. </w:t>
      </w:r>
    </w:p>
  </w:footnote>
  <w:footnote w:id="2">
    <w:p w14:paraId="602C862F" w14:textId="77777777" w:rsidR="00601929" w:rsidRPr="00760AEB" w:rsidRDefault="00601929" w:rsidP="00601929">
      <w:pPr>
        <w:pStyle w:val="Voetnoottekst"/>
        <w:rPr>
          <w:lang w:val="fr-BE"/>
        </w:rPr>
      </w:pPr>
      <w:r>
        <w:rPr>
          <w:rStyle w:val="Voetnootmarkering"/>
        </w:rPr>
        <w:footnoteRef/>
      </w:r>
      <w:r w:rsidRPr="00760AEB">
        <w:rPr>
          <w:lang w:val="fr-BE"/>
        </w:rPr>
        <w:t xml:space="preserve"> </w:t>
      </w:r>
      <w:r>
        <w:rPr>
          <w:lang w:val="fr-BE"/>
        </w:rPr>
        <w:t xml:space="preserve">Biffer la/les mention(s) inutile(s).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F2F11" w14:textId="77777777" w:rsidR="004D1A0D" w:rsidRDefault="004D1A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06A96" w14:textId="2D34B383" w:rsidR="00CE1000" w:rsidRPr="00F06C17" w:rsidRDefault="00601929" w:rsidP="00C77668">
    <w:pPr>
      <w:pStyle w:val="Koptekst"/>
      <w:rPr>
        <w:rFonts w:asciiTheme="minorHAnsi" w:hAnsiTheme="minorHAnsi" w:cstheme="minorHAnsi"/>
      </w:rPr>
    </w:pPr>
    <w:r>
      <w:tab/>
    </w:r>
    <w:r>
      <w:tab/>
    </w:r>
    <w:r w:rsidRPr="00F06C17">
      <w:rPr>
        <w:rFonts w:asciiTheme="minorHAnsi" w:hAnsiTheme="minorHAnsi" w:cstheme="minorHAnsi"/>
      </w:rPr>
      <w:t xml:space="preserve"> </w:t>
    </w:r>
    <w:r w:rsidRPr="00F06C17">
      <w:rPr>
        <w:rFonts w:asciiTheme="minorHAnsi" w:eastAsiaTheme="majorEastAsia" w:hAnsiTheme="minorHAnsi" w:cstheme="minorHAnsi"/>
        <w:lang w:val="fr-FR"/>
      </w:rPr>
      <w:fldChar w:fldCharType="begin"/>
    </w:r>
    <w:r w:rsidRPr="00F06C17">
      <w:rPr>
        <w:rFonts w:asciiTheme="minorHAnsi" w:eastAsiaTheme="majorEastAsia" w:hAnsiTheme="minorHAnsi" w:cstheme="minorHAnsi"/>
        <w:lang w:val="fr-FR"/>
      </w:rPr>
      <w:instrText xml:space="preserve"> REF LogoCabinetFr  \* MERGEFORMAT </w:instrText>
    </w:r>
    <w:r w:rsidRPr="00F06C17">
      <w:rPr>
        <w:rFonts w:asciiTheme="minorHAnsi" w:eastAsiaTheme="majorEastAsia" w:hAnsiTheme="minorHAnsi" w:cstheme="minorHAnsi"/>
        <w:lang w:val="fr-FR"/>
      </w:rPr>
      <w:fldChar w:fldCharType="separate"/>
    </w:r>
    <w:r w:rsidRPr="00F06C17">
      <w:rPr>
        <w:rFonts w:asciiTheme="minorHAnsi" w:eastAsiaTheme="majorEastAsia" w:hAnsiTheme="minorHAnsi" w:cstheme="minorHAnsi"/>
        <w:lang w:val="fr-FR"/>
      </w:rPr>
      <w:t> Insérer</w:t>
    </w:r>
    <w:r w:rsidRPr="00F06C17">
      <w:rPr>
        <w:rFonts w:asciiTheme="minorHAnsi" w:hAnsiTheme="minorHAnsi" w:cstheme="minorHAnsi"/>
        <w:lang w:val="fr-FR" w:eastAsia="nl-NL"/>
      </w:rPr>
      <w:t xml:space="preserve"> ici le logo de</w:t>
    </w:r>
    <w:r w:rsidRPr="00F06C17">
      <w:rPr>
        <w:rFonts w:asciiTheme="minorHAnsi" w:eastAsiaTheme="majorEastAsia" w:hAnsiTheme="minorHAnsi" w:cstheme="minorHAnsi"/>
        <w:lang w:val="fr-FR"/>
      </w:rPr>
      <w:t xml:space="preserve"> </w:t>
    </w:r>
    <w:r w:rsidRPr="00F06C17">
      <w:rPr>
        <w:rFonts w:asciiTheme="minorHAnsi" w:hAnsiTheme="minorHAnsi" w:cstheme="minorHAnsi"/>
        <w:lang w:val="fr-FR" w:eastAsia="nl-NL"/>
      </w:rPr>
      <w:t xml:space="preserve">votre Cabinet </w:t>
    </w:r>
    <w:r w:rsidRPr="00F06C17">
      <w:rPr>
        <w:rFonts w:asciiTheme="minorHAnsi" w:hAnsiTheme="minorHAnsi" w:cstheme="minorHAnsi"/>
        <w:lang w:eastAsia="nl-NL"/>
      </w:rPr>
      <w:fldChar w:fldCharType="end"/>
    </w:r>
    <w:r w:rsidRPr="00F06C17">
      <w:rPr>
        <w:rFonts w:asciiTheme="minorHAnsi" w:hAnsiTheme="minorHAnsi" w:cstheme="minorHAns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D67A6" w14:textId="77777777" w:rsidR="004D1A0D" w:rsidRDefault="004D1A0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9592F"/>
    <w:multiLevelType w:val="hybridMultilevel"/>
    <w:tmpl w:val="C77461A6"/>
    <w:lvl w:ilvl="0" w:tplc="3B964F62">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6991370"/>
    <w:multiLevelType w:val="multilevel"/>
    <w:tmpl w:val="54E66E1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29"/>
    <w:rsid w:val="00056AF1"/>
    <w:rsid w:val="00073884"/>
    <w:rsid w:val="000A0B38"/>
    <w:rsid w:val="000D1BE9"/>
    <w:rsid w:val="00115D7F"/>
    <w:rsid w:val="00136D43"/>
    <w:rsid w:val="0014238F"/>
    <w:rsid w:val="00187478"/>
    <w:rsid w:val="001A2732"/>
    <w:rsid w:val="001D64E3"/>
    <w:rsid w:val="00217153"/>
    <w:rsid w:val="00225ADA"/>
    <w:rsid w:val="002807F8"/>
    <w:rsid w:val="002943FB"/>
    <w:rsid w:val="00295944"/>
    <w:rsid w:val="002B4488"/>
    <w:rsid w:val="002E4685"/>
    <w:rsid w:val="003130FE"/>
    <w:rsid w:val="003418DD"/>
    <w:rsid w:val="00355452"/>
    <w:rsid w:val="00381B15"/>
    <w:rsid w:val="003F3847"/>
    <w:rsid w:val="003F5F8F"/>
    <w:rsid w:val="0042689E"/>
    <w:rsid w:val="004276F4"/>
    <w:rsid w:val="00465E2C"/>
    <w:rsid w:val="0047768D"/>
    <w:rsid w:val="004B2ABC"/>
    <w:rsid w:val="004C644B"/>
    <w:rsid w:val="004D1A0D"/>
    <w:rsid w:val="00500F17"/>
    <w:rsid w:val="005274B4"/>
    <w:rsid w:val="00566C10"/>
    <w:rsid w:val="005B7803"/>
    <w:rsid w:val="005E5255"/>
    <w:rsid w:val="00601929"/>
    <w:rsid w:val="00637A55"/>
    <w:rsid w:val="00642344"/>
    <w:rsid w:val="00685851"/>
    <w:rsid w:val="006D65C1"/>
    <w:rsid w:val="007107DB"/>
    <w:rsid w:val="00766E8C"/>
    <w:rsid w:val="007A46DC"/>
    <w:rsid w:val="007B7591"/>
    <w:rsid w:val="007D2F7C"/>
    <w:rsid w:val="007D7F6C"/>
    <w:rsid w:val="0080189D"/>
    <w:rsid w:val="008172A8"/>
    <w:rsid w:val="008A0DF7"/>
    <w:rsid w:val="008B18CA"/>
    <w:rsid w:val="008F4974"/>
    <w:rsid w:val="008F587A"/>
    <w:rsid w:val="009062BA"/>
    <w:rsid w:val="00910F53"/>
    <w:rsid w:val="00966E0A"/>
    <w:rsid w:val="009B5280"/>
    <w:rsid w:val="00A06D0A"/>
    <w:rsid w:val="00A34152"/>
    <w:rsid w:val="00A87190"/>
    <w:rsid w:val="00A92BFC"/>
    <w:rsid w:val="00AE147F"/>
    <w:rsid w:val="00B06211"/>
    <w:rsid w:val="00B53C3C"/>
    <w:rsid w:val="00BE3183"/>
    <w:rsid w:val="00BE3EA3"/>
    <w:rsid w:val="00C060EE"/>
    <w:rsid w:val="00C4217F"/>
    <w:rsid w:val="00CA4DEE"/>
    <w:rsid w:val="00D366E6"/>
    <w:rsid w:val="00D71C18"/>
    <w:rsid w:val="00D93879"/>
    <w:rsid w:val="00DA4FA7"/>
    <w:rsid w:val="00DD0A48"/>
    <w:rsid w:val="00DD61F8"/>
    <w:rsid w:val="00EA4A79"/>
    <w:rsid w:val="00EB18B1"/>
    <w:rsid w:val="00F06C17"/>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3406"/>
  <w15:chartTrackingRefBased/>
  <w15:docId w15:val="{2DC378F6-D824-487C-9CAD-AD9CD07B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01929"/>
    <w:pPr>
      <w:spacing w:after="200" w:line="276" w:lineRule="auto"/>
    </w:pPr>
    <w:rPr>
      <w:rFonts w:ascii="Arial" w:hAnsi="Arial" w:cs="Arial"/>
      <w:sz w:val="20"/>
      <w:szCs w:val="20"/>
    </w:rPr>
  </w:style>
  <w:style w:type="paragraph" w:styleId="Kop2">
    <w:name w:val="heading 2"/>
    <w:basedOn w:val="Geenafstand"/>
    <w:next w:val="Standaard"/>
    <w:link w:val="Kop2Char"/>
    <w:unhideWhenUsed/>
    <w:qFormat/>
    <w:rsid w:val="00601929"/>
    <w:pPr>
      <w:pageBreakBefore/>
      <w:spacing w:after="120"/>
      <w:outlineLvl w:val="1"/>
    </w:pPr>
    <w:rPr>
      <w:b/>
      <w:sz w:val="44"/>
      <w:szCs w:val="44"/>
    </w:rPr>
  </w:style>
  <w:style w:type="paragraph" w:styleId="Kop4">
    <w:name w:val="heading 4"/>
    <w:basedOn w:val="Standaard"/>
    <w:next w:val="Standaard"/>
    <w:link w:val="Kop4Char"/>
    <w:unhideWhenUsed/>
    <w:qFormat/>
    <w:rsid w:val="00601929"/>
    <w:pPr>
      <w:keepNext/>
      <w:spacing w:before="240" w:after="120"/>
      <w:outlineLvl w:val="3"/>
    </w:pPr>
    <w:rPr>
      <w:rFonts w:eastAsia="Times New Roman"/>
      <w:bCs/>
      <w:color w:val="365F91"/>
      <w:sz w:val="28"/>
      <w:szCs w:val="24"/>
      <w:lang w:eastAsia="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01929"/>
    <w:rPr>
      <w:rFonts w:ascii="Arial" w:hAnsi="Arial" w:cs="Arial"/>
      <w:b/>
      <w:sz w:val="44"/>
      <w:szCs w:val="44"/>
    </w:rPr>
  </w:style>
  <w:style w:type="character" w:customStyle="1" w:styleId="Kop4Char">
    <w:name w:val="Kop 4 Char"/>
    <w:basedOn w:val="Standaardalinea-lettertype"/>
    <w:link w:val="Kop4"/>
    <w:rsid w:val="00601929"/>
    <w:rPr>
      <w:rFonts w:ascii="Arial" w:eastAsia="Times New Roman" w:hAnsi="Arial" w:cs="Arial"/>
      <w:bCs/>
      <w:color w:val="365F91"/>
      <w:sz w:val="28"/>
      <w:szCs w:val="24"/>
      <w:lang w:eastAsia="fr-BE"/>
    </w:rPr>
  </w:style>
  <w:style w:type="paragraph" w:styleId="Koptekst">
    <w:name w:val="header"/>
    <w:basedOn w:val="Standaard"/>
    <w:link w:val="KoptekstChar"/>
    <w:unhideWhenUsed/>
    <w:rsid w:val="00601929"/>
    <w:pPr>
      <w:tabs>
        <w:tab w:val="center" w:pos="4513"/>
        <w:tab w:val="right" w:pos="9026"/>
      </w:tabs>
      <w:spacing w:after="0" w:line="240" w:lineRule="auto"/>
    </w:pPr>
  </w:style>
  <w:style w:type="character" w:customStyle="1" w:styleId="KoptekstChar">
    <w:name w:val="Koptekst Char"/>
    <w:basedOn w:val="Standaardalinea-lettertype"/>
    <w:link w:val="Koptekst"/>
    <w:rsid w:val="00601929"/>
    <w:rPr>
      <w:rFonts w:ascii="Arial" w:hAnsi="Arial" w:cs="Arial"/>
      <w:sz w:val="20"/>
      <w:szCs w:val="20"/>
    </w:rPr>
  </w:style>
  <w:style w:type="paragraph" w:styleId="Voetnoottekst">
    <w:name w:val="footnote text"/>
    <w:basedOn w:val="Standaard"/>
    <w:link w:val="VoetnoottekstChar"/>
    <w:semiHidden/>
    <w:rsid w:val="00601929"/>
    <w:rPr>
      <w:rFonts w:asciiTheme="minorHAnsi" w:hAnsiTheme="minorHAnsi" w:cstheme="minorBidi"/>
      <w:sz w:val="18"/>
      <w:szCs w:val="22"/>
      <w:lang w:val="en-GB"/>
    </w:rPr>
  </w:style>
  <w:style w:type="character" w:customStyle="1" w:styleId="VoetnoottekstChar">
    <w:name w:val="Voetnoottekst Char"/>
    <w:basedOn w:val="Standaardalinea-lettertype"/>
    <w:link w:val="Voetnoottekst"/>
    <w:semiHidden/>
    <w:rsid w:val="00601929"/>
    <w:rPr>
      <w:sz w:val="18"/>
      <w:lang w:val="en-GB"/>
    </w:rPr>
  </w:style>
  <w:style w:type="character" w:styleId="Voetnootmarkering">
    <w:name w:val="footnote reference"/>
    <w:semiHidden/>
    <w:rsid w:val="00601929"/>
    <w:rPr>
      <w:vertAlign w:val="superscript"/>
    </w:rPr>
  </w:style>
  <w:style w:type="paragraph" w:styleId="Geenafstand">
    <w:name w:val="No Spacing"/>
    <w:uiPriority w:val="1"/>
    <w:qFormat/>
    <w:rsid w:val="00601929"/>
    <w:pPr>
      <w:spacing w:after="0" w:line="240" w:lineRule="auto"/>
    </w:pPr>
    <w:rPr>
      <w:rFonts w:ascii="Arial" w:hAnsi="Arial" w:cs="Arial"/>
      <w:sz w:val="20"/>
      <w:szCs w:val="20"/>
    </w:rPr>
  </w:style>
  <w:style w:type="paragraph" w:styleId="Voettekst">
    <w:name w:val="footer"/>
    <w:basedOn w:val="Standaard"/>
    <w:link w:val="VoettekstChar"/>
    <w:uiPriority w:val="99"/>
    <w:unhideWhenUsed/>
    <w:rsid w:val="00F06C17"/>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06C1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249EB-3CED-49D1-884F-DF8E38E68AF1}"/>
</file>

<file path=customXml/itemProps2.xml><?xml version="1.0" encoding="utf-8"?>
<ds:datastoreItem xmlns:ds="http://schemas.openxmlformats.org/officeDocument/2006/customXml" ds:itemID="{B9A5BEA9-F5E4-4EA3-9332-87E8CDE4D45B}"/>
</file>

<file path=customXml/itemProps3.xml><?xml version="1.0" encoding="utf-8"?>
<ds:datastoreItem xmlns:ds="http://schemas.openxmlformats.org/officeDocument/2006/customXml" ds:itemID="{427F4D03-AF93-4AEE-9944-59938F05ACB5}"/>
</file>

<file path=customXml/itemProps4.xml><?xml version="1.0" encoding="utf-8"?>
<ds:datastoreItem xmlns:ds="http://schemas.openxmlformats.org/officeDocument/2006/customXml" ds:itemID="{CF7A01AF-4443-4385-8EEC-35504CB3AEB6}"/>
</file>

<file path=docProps/app.xml><?xml version="1.0" encoding="utf-8"?>
<Properties xmlns="http://schemas.openxmlformats.org/officeDocument/2006/extended-properties" xmlns:vt="http://schemas.openxmlformats.org/officeDocument/2006/docPropsVTypes">
  <Template>Normal</Template>
  <TotalTime>4</TotalTime>
  <Pages>3</Pages>
  <Words>1264</Words>
  <Characters>6958</Characters>
  <Application>Microsoft Office Word</Application>
  <DocSecurity>0</DocSecurity>
  <Lines>57</Lines>
  <Paragraphs>16</Paragraphs>
  <ScaleCrop>false</ScaleCrop>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De Wit Evy</cp:lastModifiedBy>
  <cp:revision>6</cp:revision>
  <dcterms:created xsi:type="dcterms:W3CDTF">2018-10-11T10:20:00Z</dcterms:created>
  <dcterms:modified xsi:type="dcterms:W3CDTF">2019-11-21T08:53:00Z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