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B41E" w14:textId="2502E395" w:rsidR="000B511B" w:rsidRDefault="000B511B" w:rsidP="000B511B">
      <w:pPr>
        <w:pStyle w:val="Kop2"/>
      </w:pPr>
      <w:bookmarkStart w:id="0" w:name="_Toc527021577"/>
      <w:r w:rsidRPr="007038E4">
        <w:t xml:space="preserve">Checklist </w:t>
      </w:r>
      <w:r w:rsidR="008C0C03">
        <w:t>complémentaire</w:t>
      </w:r>
      <w:r w:rsidR="008C0C03" w:rsidRPr="007038E4">
        <w:t xml:space="preserve"> </w:t>
      </w:r>
      <w:r w:rsidRPr="007038E4">
        <w:t xml:space="preserve">Indépendance </w:t>
      </w:r>
      <w:bookmarkStart w:id="1" w:name="_Hlk525550208"/>
      <w:r w:rsidRPr="007038E4">
        <w:t>pour les EIP</w:t>
      </w:r>
      <w:bookmarkEnd w:id="0"/>
      <w:r>
        <w:t xml:space="preserve"> </w:t>
      </w:r>
      <w:r w:rsidR="00804BA8">
        <w:t>et filiales d’EIP</w:t>
      </w:r>
      <w:r w:rsidR="00804BA8">
        <w:rPr>
          <w:rStyle w:val="Voetnootmarkering"/>
        </w:rPr>
        <w:footnoteReference w:id="1"/>
      </w:r>
    </w:p>
    <w:p w14:paraId="0BF57CED" w14:textId="77777777" w:rsidR="00804BA8" w:rsidRPr="00804BA8" w:rsidRDefault="00804BA8" w:rsidP="00804BA8"/>
    <w:p w14:paraId="1E0FD132" w14:textId="77777777" w:rsidR="000B511B" w:rsidRDefault="000B511B" w:rsidP="000B511B">
      <w:pPr>
        <w:spacing w:after="120" w:line="240" w:lineRule="auto"/>
        <w:jc w:val="both"/>
        <w:rPr>
          <w:rFonts w:eastAsia="Times New Roman" w:cs="Times New Roman"/>
          <w:i/>
          <w:lang w:eastAsia="fr-BE"/>
        </w:rPr>
      </w:pPr>
      <w:r w:rsidRPr="00B565F2">
        <w:rPr>
          <w:rFonts w:eastAsia="Times New Roman" w:cs="Times New Roman"/>
          <w:b/>
          <w:i/>
          <w:lang w:eastAsia="fr-BE"/>
        </w:rPr>
        <w:t>La présente checklist est complémentaire à la checklist Indépendance pour toute entité</w:t>
      </w:r>
      <w:r>
        <w:rPr>
          <w:rFonts w:eastAsia="Times New Roman" w:cs="Times New Roman"/>
          <w:b/>
          <w:i/>
          <w:lang w:eastAsia="fr-BE"/>
        </w:rPr>
        <w:t xml:space="preserve">. </w:t>
      </w:r>
    </w:p>
    <w:bookmarkEnd w:id="1"/>
    <w:p w14:paraId="5FD92D06" w14:textId="77777777" w:rsidR="000B511B" w:rsidRPr="00B565F2" w:rsidRDefault="000B511B" w:rsidP="000B511B">
      <w:pPr>
        <w:spacing w:after="120"/>
        <w:jc w:val="both"/>
        <w:rPr>
          <w:rFonts w:eastAsia="Times New Roman" w:cs="Times New Roman"/>
          <w:b/>
          <w:i/>
          <w:lang w:eastAsia="fr-BE"/>
        </w:rPr>
      </w:pPr>
    </w:p>
    <w:p w14:paraId="29A1326C" w14:textId="77777777" w:rsidR="000B511B" w:rsidRPr="007038E4" w:rsidRDefault="000B511B" w:rsidP="000B511B">
      <w:pPr>
        <w:spacing w:after="120"/>
        <w:jc w:val="both"/>
        <w:rPr>
          <w:rFonts w:eastAsia="Times New Roman" w:cs="Times New Roman"/>
          <w:lang w:eastAsia="fr-BE"/>
        </w:rPr>
      </w:pPr>
      <w:r w:rsidRPr="007038E4">
        <w:rPr>
          <w:rFonts w:eastAsia="Times New Roman" w:cs="Times New Roman"/>
          <w:i/>
          <w:lang w:eastAsia="fr-BE"/>
        </w:rPr>
        <w:t>En cas de menace à l’indépendance identifiée, il y a lieu de consigner dans la documentation, les mesures de sauvegarde existantes ou inexistantes</w:t>
      </w:r>
      <w:r>
        <w:rPr>
          <w:rFonts w:eastAsia="Times New Roman" w:cs="Times New Roman"/>
          <w:i/>
          <w:lang w:eastAsia="fr-BE"/>
        </w:rPr>
        <w:t xml:space="preserve"> (art. 12 § 5 de la loi du 7 décembre 2016)</w:t>
      </w:r>
      <w:r w:rsidRPr="007038E4">
        <w:rPr>
          <w:rFonts w:eastAsia="Times New Roman" w:cs="Times New Roman"/>
          <w:i/>
          <w:lang w:eastAsia="fr-BE"/>
        </w:rPr>
        <w:t xml:space="preserv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0B511B" w:rsidRPr="007038E4" w14:paraId="5BB063EA" w14:textId="77777777" w:rsidTr="00475E8B">
        <w:tc>
          <w:tcPr>
            <w:tcW w:w="1800" w:type="dxa"/>
          </w:tcPr>
          <w:p w14:paraId="28181AA6" w14:textId="77777777" w:rsidR="000B511B" w:rsidRPr="00991668"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3FC31BBC"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3B0BD570" w14:textId="77777777" w:rsidR="000B511B" w:rsidRPr="007038E4"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5007F0DE"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316D29F8" w14:textId="77777777" w:rsidTr="00475E8B">
        <w:tc>
          <w:tcPr>
            <w:tcW w:w="1800" w:type="dxa"/>
          </w:tcPr>
          <w:p w14:paraId="18F5FE19" w14:textId="77777777" w:rsidR="000B511B" w:rsidRPr="007038E4"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3021C2C0"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1A390609" w14:textId="77777777" w:rsidR="000B511B" w:rsidRPr="00991668"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Exercice</w:t>
            </w:r>
          </w:p>
        </w:tc>
        <w:tc>
          <w:tcPr>
            <w:tcW w:w="2700" w:type="dxa"/>
          </w:tcPr>
          <w:p w14:paraId="18A94949"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130992DE" w14:textId="77777777" w:rsidTr="00475E8B">
        <w:tc>
          <w:tcPr>
            <w:tcW w:w="1800" w:type="dxa"/>
          </w:tcPr>
          <w:p w14:paraId="43EFEEA1" w14:textId="77777777" w:rsidR="000B511B" w:rsidRPr="00991668"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Collaborateur</w:t>
            </w:r>
          </w:p>
        </w:tc>
        <w:tc>
          <w:tcPr>
            <w:tcW w:w="2880" w:type="dxa"/>
          </w:tcPr>
          <w:p w14:paraId="66A260AA"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5"/>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7E635337" w14:textId="77777777" w:rsidR="000B511B" w:rsidRPr="00991668"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Date</w:t>
            </w:r>
          </w:p>
        </w:tc>
        <w:tc>
          <w:tcPr>
            <w:tcW w:w="2700" w:type="dxa"/>
          </w:tcPr>
          <w:p w14:paraId="437C4FAE"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4C9D1765" w14:textId="77777777" w:rsidTr="00475E8B">
        <w:tc>
          <w:tcPr>
            <w:tcW w:w="1800" w:type="dxa"/>
          </w:tcPr>
          <w:p w14:paraId="7153FB27" w14:textId="77777777" w:rsidR="000B511B" w:rsidRPr="00991668" w:rsidRDefault="000B511B" w:rsidP="00475E8B">
            <w:pPr>
              <w:spacing w:before="40" w:after="120" w:line="312" w:lineRule="auto"/>
              <w:jc w:val="both"/>
              <w:rPr>
                <w:rFonts w:eastAsia="Times New Roman" w:cs="Times New Roman"/>
                <w:lang w:eastAsia="fr-BE"/>
              </w:rPr>
            </w:pPr>
            <w:r w:rsidRPr="007038E4">
              <w:rPr>
                <w:rFonts w:eastAsia="Times New Roman" w:cs="Times New Roman"/>
                <w:lang w:eastAsia="fr-BE"/>
              </w:rPr>
              <w:t>Associé</w:t>
            </w:r>
          </w:p>
        </w:tc>
        <w:tc>
          <w:tcPr>
            <w:tcW w:w="2880" w:type="dxa"/>
          </w:tcPr>
          <w:p w14:paraId="3DD70353" w14:textId="77777777" w:rsidR="000B511B" w:rsidRPr="00312461" w:rsidRDefault="000B511B"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6"/>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7CA7603D" w14:textId="77777777" w:rsidR="000B511B" w:rsidRPr="007038E4" w:rsidRDefault="000B511B" w:rsidP="00475E8B">
            <w:pPr>
              <w:spacing w:before="40" w:after="120" w:line="312" w:lineRule="auto"/>
              <w:jc w:val="both"/>
              <w:rPr>
                <w:rFonts w:eastAsia="Times New Roman" w:cs="Times New Roman"/>
                <w:lang w:eastAsia="fr-BE"/>
              </w:rPr>
            </w:pPr>
          </w:p>
        </w:tc>
        <w:tc>
          <w:tcPr>
            <w:tcW w:w="2700" w:type="dxa"/>
          </w:tcPr>
          <w:p w14:paraId="3C24033D" w14:textId="77777777" w:rsidR="000B511B" w:rsidRPr="007038E4" w:rsidRDefault="000B511B" w:rsidP="00475E8B">
            <w:pPr>
              <w:spacing w:before="40" w:after="120" w:line="312" w:lineRule="auto"/>
              <w:jc w:val="both"/>
              <w:rPr>
                <w:rFonts w:eastAsia="Times New Roman" w:cs="Times New Roman"/>
                <w:lang w:eastAsia="fr-BE"/>
              </w:rPr>
            </w:pPr>
          </w:p>
        </w:tc>
      </w:tr>
    </w:tbl>
    <w:p w14:paraId="41976E89" w14:textId="77777777" w:rsidR="000B511B" w:rsidRPr="007038E4" w:rsidRDefault="000B511B" w:rsidP="000B511B">
      <w:pPr>
        <w:spacing w:after="120"/>
        <w:jc w:val="both"/>
        <w:rPr>
          <w:rFonts w:eastAsia="Times New Roman" w:cs="Times New Roman"/>
          <w:lang w:eastAsia="fr-BE"/>
        </w:rPr>
      </w:pPr>
    </w:p>
    <w:tbl>
      <w:tblPr>
        <w:tblW w:w="5317" w:type="pct"/>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780"/>
        <w:gridCol w:w="13"/>
        <w:gridCol w:w="835"/>
        <w:gridCol w:w="16"/>
        <w:gridCol w:w="831"/>
        <w:gridCol w:w="19"/>
        <w:gridCol w:w="1135"/>
      </w:tblGrid>
      <w:tr w:rsidR="000B511B" w:rsidRPr="007038E4" w14:paraId="13D21A31" w14:textId="77777777" w:rsidTr="00804BA8">
        <w:tc>
          <w:tcPr>
            <w:tcW w:w="6780" w:type="dxa"/>
            <w:shd w:val="clear" w:color="auto" w:fill="auto"/>
          </w:tcPr>
          <w:p w14:paraId="6978465F" w14:textId="77777777" w:rsidR="000B511B" w:rsidRPr="007038E4" w:rsidRDefault="000B511B" w:rsidP="00475E8B">
            <w:pPr>
              <w:spacing w:before="120" w:after="120" w:line="240" w:lineRule="auto"/>
              <w:jc w:val="center"/>
              <w:rPr>
                <w:rFonts w:eastAsia="Times New Roman" w:cs="Times New Roman"/>
                <w:b/>
                <w:sz w:val="18"/>
                <w:lang w:eastAsia="fr-BE"/>
              </w:rPr>
            </w:pPr>
          </w:p>
        </w:tc>
        <w:tc>
          <w:tcPr>
            <w:tcW w:w="848" w:type="dxa"/>
            <w:gridSpan w:val="2"/>
            <w:shd w:val="clear" w:color="auto" w:fill="auto"/>
          </w:tcPr>
          <w:p w14:paraId="4630AB17" w14:textId="77777777" w:rsidR="000B511B" w:rsidRPr="007038E4" w:rsidRDefault="000B511B" w:rsidP="00475E8B">
            <w:pPr>
              <w:spacing w:before="120" w:after="120" w:line="240" w:lineRule="auto"/>
              <w:jc w:val="center"/>
              <w:rPr>
                <w:rFonts w:eastAsia="Times New Roman" w:cs="Times New Roman"/>
                <w:b/>
                <w:sz w:val="18"/>
                <w:lang w:eastAsia="fr-BE"/>
              </w:rPr>
            </w:pPr>
            <w:r w:rsidRPr="007038E4">
              <w:rPr>
                <w:rFonts w:eastAsia="Times New Roman"/>
                <w:b/>
                <w:sz w:val="18"/>
                <w:lang w:eastAsia="fr-BE"/>
              </w:rPr>
              <w:t>Oui/Non</w:t>
            </w:r>
          </w:p>
        </w:tc>
        <w:tc>
          <w:tcPr>
            <w:tcW w:w="847" w:type="dxa"/>
            <w:gridSpan w:val="2"/>
          </w:tcPr>
          <w:p w14:paraId="54205F81" w14:textId="77777777" w:rsidR="000B511B" w:rsidRPr="007038E4" w:rsidRDefault="000B511B" w:rsidP="00475E8B">
            <w:pPr>
              <w:spacing w:before="120" w:after="120" w:line="240" w:lineRule="auto"/>
              <w:jc w:val="center"/>
              <w:rPr>
                <w:rFonts w:eastAsia="Times New Roman"/>
                <w:b/>
                <w:sz w:val="18"/>
                <w:lang w:eastAsia="fr-BE"/>
              </w:rPr>
            </w:pPr>
            <w:r w:rsidRPr="007038E4">
              <w:rPr>
                <w:rFonts w:eastAsia="Times New Roman"/>
                <w:b/>
                <w:sz w:val="18"/>
                <w:lang w:eastAsia="fr-BE"/>
              </w:rPr>
              <w:t>NA</w:t>
            </w:r>
          </w:p>
        </w:tc>
        <w:tc>
          <w:tcPr>
            <w:tcW w:w="1154" w:type="dxa"/>
            <w:gridSpan w:val="2"/>
            <w:shd w:val="clear" w:color="auto" w:fill="auto"/>
          </w:tcPr>
          <w:p w14:paraId="78FCC302" w14:textId="77777777" w:rsidR="000B511B" w:rsidRPr="007038E4" w:rsidRDefault="000B511B" w:rsidP="00475E8B">
            <w:pPr>
              <w:spacing w:before="120" w:after="120" w:line="240" w:lineRule="auto"/>
              <w:jc w:val="center"/>
              <w:rPr>
                <w:rFonts w:eastAsia="Times New Roman" w:cs="Times New Roman"/>
                <w:b/>
                <w:sz w:val="18"/>
                <w:lang w:eastAsia="fr-BE"/>
              </w:rPr>
            </w:pPr>
            <w:proofErr w:type="spellStart"/>
            <w:r w:rsidRPr="007038E4">
              <w:rPr>
                <w:rFonts w:eastAsia="Times New Roman"/>
                <w:b/>
                <w:sz w:val="18"/>
                <w:lang w:eastAsia="fr-BE"/>
              </w:rPr>
              <w:t>Commen-taire</w:t>
            </w:r>
            <w:proofErr w:type="spellEnd"/>
            <w:r w:rsidRPr="007038E4">
              <w:rPr>
                <w:rFonts w:eastAsia="Times New Roman"/>
                <w:b/>
                <w:sz w:val="18"/>
                <w:lang w:eastAsia="fr-BE"/>
              </w:rPr>
              <w:t xml:space="preserve"> ou réf. document de travail</w:t>
            </w:r>
          </w:p>
        </w:tc>
      </w:tr>
      <w:tr w:rsidR="000B511B" w:rsidRPr="007038E4" w14:paraId="7F2C92D2" w14:textId="77777777" w:rsidTr="00804BA8">
        <w:tc>
          <w:tcPr>
            <w:tcW w:w="9629" w:type="dxa"/>
            <w:gridSpan w:val="7"/>
          </w:tcPr>
          <w:p w14:paraId="7E438404" w14:textId="77777777" w:rsidR="000B511B" w:rsidRPr="00FB6066" w:rsidDel="00B80C68" w:rsidRDefault="000B511B" w:rsidP="00475E8B">
            <w:pPr>
              <w:spacing w:before="120" w:after="120" w:line="240" w:lineRule="auto"/>
              <w:ind w:left="142"/>
              <w:jc w:val="both"/>
              <w:rPr>
                <w:rFonts w:eastAsia="Times New Roman"/>
                <w:b/>
                <w:lang w:eastAsia="fr-BE"/>
              </w:rPr>
            </w:pPr>
            <w:r w:rsidRPr="00FB6066">
              <w:rPr>
                <w:rFonts w:eastAsia="Times New Roman"/>
                <w:b/>
                <w:lang w:eastAsia="fr-BE"/>
              </w:rPr>
              <w:t>Mandat de commissaire</w:t>
            </w:r>
          </w:p>
        </w:tc>
      </w:tr>
      <w:tr w:rsidR="00030C87" w:rsidRPr="00030C87" w14:paraId="59F59B5A" w14:textId="77777777" w:rsidTr="00804BA8">
        <w:tc>
          <w:tcPr>
            <w:tcW w:w="9629" w:type="dxa"/>
            <w:gridSpan w:val="7"/>
            <w:tcBorders>
              <w:top w:val="single" w:sz="6" w:space="0" w:color="000000"/>
              <w:left w:val="single" w:sz="6" w:space="0" w:color="000000"/>
              <w:bottom w:val="single" w:sz="6" w:space="0" w:color="000000"/>
              <w:right w:val="single" w:sz="6" w:space="0" w:color="000000"/>
            </w:tcBorders>
          </w:tcPr>
          <w:p w14:paraId="5F0B923A" w14:textId="77777777" w:rsidR="00030C87" w:rsidRPr="00030C87" w:rsidRDefault="00030C87" w:rsidP="00DB5079">
            <w:pPr>
              <w:spacing w:before="120" w:after="120" w:line="240" w:lineRule="auto"/>
              <w:ind w:left="142"/>
              <w:jc w:val="both"/>
              <w:rPr>
                <w:rFonts w:eastAsia="Times New Roman"/>
                <w:lang w:eastAsia="fr-BE"/>
              </w:rPr>
            </w:pPr>
            <w:r w:rsidRPr="00030C87">
              <w:rPr>
                <w:rFonts w:eastAsia="Times New Roman"/>
                <w:lang w:eastAsia="fr-BE"/>
              </w:rPr>
              <w:t>1. Prestations de services non audit interdits pour les EIP (Art. 133/1 §3-6 C. Soc./ art. 3:63 §3- 6 CSA)</w:t>
            </w:r>
          </w:p>
        </w:tc>
      </w:tr>
      <w:tr w:rsidR="000B511B" w:rsidRPr="007038E4" w14:paraId="06293FA0" w14:textId="77777777" w:rsidTr="00804BA8">
        <w:trPr>
          <w:trHeight w:val="5503"/>
        </w:trPr>
        <w:tc>
          <w:tcPr>
            <w:tcW w:w="6780" w:type="dxa"/>
            <w:tcBorders>
              <w:top w:val="single" w:sz="2" w:space="0" w:color="000000"/>
              <w:left w:val="single" w:sz="2" w:space="0" w:color="000000"/>
              <w:bottom w:val="nil"/>
              <w:right w:val="single" w:sz="2" w:space="0" w:color="auto"/>
            </w:tcBorders>
            <w:shd w:val="clear" w:color="auto" w:fill="auto"/>
          </w:tcPr>
          <w:p w14:paraId="25C3BDD2" w14:textId="029C0C6C" w:rsidR="000B511B" w:rsidRPr="00FB6066" w:rsidRDefault="000B511B" w:rsidP="00475E8B">
            <w:pPr>
              <w:spacing w:before="240" w:after="0" w:line="240" w:lineRule="auto"/>
              <w:ind w:left="130" w:right="193"/>
            </w:pPr>
            <w:r w:rsidRPr="00FB6066">
              <w:rPr>
                <w:rFonts w:eastAsia="Times New Roman"/>
                <w:lang w:eastAsia="fr-BE"/>
              </w:rPr>
              <w:t>1.</w:t>
            </w:r>
            <w:r>
              <w:t xml:space="preserve">1. </w:t>
            </w:r>
            <w:r w:rsidRPr="00FB6066">
              <w:t xml:space="preserve">Le réviseur d'entreprises doit s’assurer également qu'aucun service incompatible n’a été fourni à l’entité contrôlée EIP ou à sa société mère ou </w:t>
            </w:r>
            <w:r w:rsidRPr="007038E4">
              <w:t xml:space="preserve">aux entreprises qu'elle contrôle </w:t>
            </w:r>
            <w:r w:rsidRPr="00FB6066">
              <w:t>au sein de l’union Européenne, soit par lui-même, soit par à un membre de son réseau.</w:t>
            </w:r>
          </w:p>
          <w:p w14:paraId="6155E313" w14:textId="3A6A4920" w:rsidR="000B511B" w:rsidRPr="00991668" w:rsidRDefault="000B511B" w:rsidP="00475E8B">
            <w:pPr>
              <w:keepLines/>
              <w:spacing w:before="120" w:after="0" w:line="240" w:lineRule="auto"/>
              <w:ind w:left="130" w:right="193"/>
              <w:jc w:val="both"/>
              <w:rPr>
                <w:rFonts w:eastAsia="Times New Roman"/>
                <w:lang w:eastAsia="fr-BE"/>
              </w:rPr>
            </w:pPr>
            <w:r w:rsidRPr="00991668">
              <w:rPr>
                <w:rFonts w:eastAsia="Times New Roman"/>
                <w:lang w:eastAsia="fr-BE"/>
              </w:rPr>
              <w:t>Les services incompatibles suivants ont-ils été fourni :</w:t>
            </w:r>
          </w:p>
          <w:p w14:paraId="36F53C2D" w14:textId="77777777" w:rsidR="000B511B" w:rsidRPr="00991668" w:rsidRDefault="000B511B" w:rsidP="000B511B">
            <w:pPr>
              <w:pStyle w:val="Lijstalinea"/>
              <w:numPr>
                <w:ilvl w:val="0"/>
                <w:numId w:val="2"/>
              </w:numPr>
              <w:tabs>
                <w:tab w:val="clear" w:pos="567"/>
                <w:tab w:val="left" w:pos="697"/>
              </w:tabs>
              <w:spacing w:after="0" w:line="240" w:lineRule="auto"/>
              <w:ind w:right="193"/>
              <w:rPr>
                <w:lang w:val="fr-BE"/>
              </w:rPr>
            </w:pPr>
            <w:r w:rsidRPr="00991668">
              <w:rPr>
                <w:lang w:val="fr-BE"/>
              </w:rPr>
              <w:t>les services fiscaux portant sur:</w:t>
            </w:r>
          </w:p>
          <w:p w14:paraId="79124FE1"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l'établissement des déclarations fiscales</w:t>
            </w:r>
            <w:r>
              <w:rPr>
                <w:lang w:val="fr-BE"/>
              </w:rPr>
              <w:t>?</w:t>
            </w:r>
          </w:p>
          <w:p w14:paraId="4E8F5A28"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l'impôt sur les salaires</w:t>
            </w:r>
            <w:r>
              <w:rPr>
                <w:lang w:val="fr-BE"/>
              </w:rPr>
              <w:t> ?</w:t>
            </w:r>
          </w:p>
          <w:p w14:paraId="6C828E44"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les droits de douane</w:t>
            </w:r>
            <w:r>
              <w:rPr>
                <w:lang w:val="fr-BE"/>
              </w:rPr>
              <w:t>?</w:t>
            </w:r>
          </w:p>
          <w:p w14:paraId="6798A975"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l'identification des subventions publiques et des incitations fiscales, à moins qu'une assistance de la part du contrôleur légal des comptes ou du cabinet d'audit pour la fourniture de ces services ne soit requise par la loi</w:t>
            </w:r>
            <w:r>
              <w:rPr>
                <w:lang w:val="fr-BE"/>
              </w:rPr>
              <w:t> ?</w:t>
            </w:r>
          </w:p>
          <w:p w14:paraId="66A9D6ED"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l'assistance de la société soumise au contrôle légal lors de contrôles fiscaux menés par les autorités fiscales</w:t>
            </w:r>
            <w:r>
              <w:rPr>
                <w:lang w:val="fr-BE"/>
              </w:rPr>
              <w:t>?</w:t>
            </w:r>
          </w:p>
          <w:p w14:paraId="1CA731BE"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le calcul de l'impôt direct et indirect ainsi que de l'impôt différé</w:t>
            </w:r>
            <w:r>
              <w:rPr>
                <w:lang w:val="fr-BE"/>
              </w:rPr>
              <w:t> ?</w:t>
            </w:r>
          </w:p>
          <w:p w14:paraId="552C1239" w14:textId="77777777" w:rsidR="000B511B" w:rsidRPr="00991668" w:rsidRDefault="000B511B" w:rsidP="000B511B">
            <w:pPr>
              <w:pStyle w:val="Lijstalinea"/>
              <w:numPr>
                <w:ilvl w:val="0"/>
                <w:numId w:val="4"/>
              </w:numPr>
              <w:spacing w:after="0" w:line="240" w:lineRule="auto"/>
              <w:ind w:right="193"/>
              <w:rPr>
                <w:lang w:val="fr-BE"/>
              </w:rPr>
            </w:pPr>
            <w:r w:rsidRPr="00991668">
              <w:rPr>
                <w:lang w:val="fr-BE"/>
              </w:rPr>
              <w:t>la fourniture de conseils fiscaux</w:t>
            </w:r>
            <w:r>
              <w:rPr>
                <w:lang w:val="fr-BE"/>
              </w:rPr>
              <w:t> ?</w:t>
            </w:r>
          </w:p>
          <w:p w14:paraId="16C40A7F" w14:textId="77777777" w:rsidR="000B511B" w:rsidRPr="00991668" w:rsidRDefault="000B511B" w:rsidP="000B511B">
            <w:pPr>
              <w:pStyle w:val="Lijstalinea"/>
              <w:numPr>
                <w:ilvl w:val="0"/>
                <w:numId w:val="2"/>
              </w:numPr>
              <w:tabs>
                <w:tab w:val="clear" w:pos="567"/>
                <w:tab w:val="left" w:pos="697"/>
              </w:tabs>
              <w:spacing w:after="0" w:line="240" w:lineRule="auto"/>
              <w:ind w:right="193"/>
              <w:rPr>
                <w:lang w:val="fr-BE"/>
              </w:rPr>
            </w:pPr>
            <w:r w:rsidRPr="00991668">
              <w:rPr>
                <w:lang w:val="fr-BE"/>
              </w:rPr>
              <w:t>les services juridiques ayant trait à la fourniture de conseils généraux</w:t>
            </w:r>
            <w:r>
              <w:rPr>
                <w:lang w:val="fr-BE"/>
              </w:rPr>
              <w:t> ?</w:t>
            </w:r>
          </w:p>
          <w:p w14:paraId="79D3724A" w14:textId="77777777" w:rsidR="000B511B" w:rsidRPr="00991668" w:rsidRDefault="000B511B" w:rsidP="000B511B">
            <w:pPr>
              <w:pStyle w:val="Lijstalinea"/>
              <w:numPr>
                <w:ilvl w:val="0"/>
                <w:numId w:val="2"/>
              </w:numPr>
              <w:tabs>
                <w:tab w:val="clear" w:pos="567"/>
                <w:tab w:val="left" w:pos="697"/>
              </w:tabs>
              <w:spacing w:after="0" w:line="240" w:lineRule="auto"/>
              <w:ind w:right="193"/>
              <w:rPr>
                <w:lang w:val="fr-BE"/>
              </w:rPr>
            </w:pPr>
            <w:r w:rsidRPr="00991668">
              <w:rPr>
                <w:lang w:val="fr-BE"/>
              </w:rPr>
              <w:t>les services de paie</w:t>
            </w:r>
            <w:r>
              <w:rPr>
                <w:lang w:val="fr-BE"/>
              </w:rPr>
              <w:t> ?</w:t>
            </w:r>
          </w:p>
          <w:p w14:paraId="3FD47E03" w14:textId="77777777" w:rsidR="000B511B" w:rsidRPr="00C463BB" w:rsidRDefault="000B511B" w:rsidP="000B511B">
            <w:pPr>
              <w:pStyle w:val="Lijstalinea"/>
              <w:numPr>
                <w:ilvl w:val="0"/>
                <w:numId w:val="2"/>
              </w:numPr>
              <w:tabs>
                <w:tab w:val="clear" w:pos="567"/>
                <w:tab w:val="left" w:pos="697"/>
              </w:tabs>
              <w:spacing w:after="0" w:line="240" w:lineRule="auto"/>
              <w:ind w:right="193"/>
            </w:pPr>
            <w:r w:rsidRPr="00991668">
              <w:rPr>
                <w:lang w:val="fr-BE"/>
              </w:rPr>
              <w:t>la promotion, le commerce ou la souscription de parts de la société soumise au contrôle légal </w:t>
            </w:r>
            <w:r>
              <w:rPr>
                <w:lang w:val="fr-BE"/>
              </w:rPr>
              <w:t>?</w:t>
            </w:r>
          </w:p>
        </w:tc>
        <w:tc>
          <w:tcPr>
            <w:tcW w:w="848" w:type="dxa"/>
            <w:gridSpan w:val="2"/>
            <w:tcBorders>
              <w:top w:val="single" w:sz="2" w:space="0" w:color="000000"/>
              <w:left w:val="single" w:sz="2" w:space="0" w:color="auto"/>
              <w:bottom w:val="nil"/>
              <w:right w:val="single" w:sz="2" w:space="0" w:color="000000"/>
            </w:tcBorders>
            <w:shd w:val="clear" w:color="auto" w:fill="auto"/>
          </w:tcPr>
          <w:p w14:paraId="55F3201D"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6B23EF5E"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5CA2EC7F"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7157AE02"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4BBB75D1"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71A3ACC3"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2F27ACE0"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201FE6EB"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02EA7B2C"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78840A7E"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7C9376DD"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4043ED34"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08EFB38B"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EC79231"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9405291"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3AC6CC1"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8D4E720"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2" w:space="0" w:color="000000"/>
              <w:left w:val="single" w:sz="2" w:space="0" w:color="000000"/>
              <w:bottom w:val="nil"/>
              <w:right w:val="single" w:sz="2" w:space="0" w:color="000000"/>
            </w:tcBorders>
          </w:tcPr>
          <w:p w14:paraId="1AB3AD9D" w14:textId="77777777" w:rsidR="000B511B" w:rsidRPr="00312461" w:rsidRDefault="000B511B" w:rsidP="00475E8B">
            <w:pPr>
              <w:spacing w:before="120" w:after="0" w:line="240" w:lineRule="auto"/>
              <w:ind w:left="113" w:right="113"/>
              <w:jc w:val="both"/>
              <w:rPr>
                <w:rFonts w:eastAsia="Times New Roman"/>
                <w:noProof/>
                <w:highlight w:val="yellow"/>
                <w:lang w:eastAsia="fr-BE"/>
              </w:rPr>
            </w:pPr>
          </w:p>
          <w:p w14:paraId="7A182497" w14:textId="77777777" w:rsidR="000B511B" w:rsidRPr="00312461" w:rsidRDefault="000B511B" w:rsidP="00475E8B">
            <w:pPr>
              <w:spacing w:before="120" w:after="0" w:line="240" w:lineRule="auto"/>
              <w:ind w:left="113" w:right="113"/>
              <w:jc w:val="both"/>
              <w:rPr>
                <w:rFonts w:eastAsia="Times New Roman"/>
                <w:noProof/>
                <w:highlight w:val="yellow"/>
                <w:lang w:eastAsia="fr-BE"/>
              </w:rPr>
            </w:pPr>
          </w:p>
          <w:p w14:paraId="0B40BCC7" w14:textId="77777777" w:rsidR="000B511B" w:rsidRPr="00312461" w:rsidRDefault="000B511B" w:rsidP="00475E8B">
            <w:pPr>
              <w:spacing w:before="120" w:after="0" w:line="240" w:lineRule="auto"/>
              <w:ind w:left="113" w:right="113"/>
              <w:jc w:val="both"/>
              <w:rPr>
                <w:rFonts w:eastAsia="Times New Roman"/>
                <w:noProof/>
                <w:highlight w:val="yellow"/>
                <w:lang w:eastAsia="fr-BE"/>
              </w:rPr>
            </w:pPr>
          </w:p>
          <w:p w14:paraId="4D96E4F3" w14:textId="77777777" w:rsidR="000B511B" w:rsidRPr="00312461" w:rsidRDefault="000B511B" w:rsidP="00475E8B">
            <w:pPr>
              <w:spacing w:before="120" w:after="0" w:line="240" w:lineRule="auto"/>
              <w:ind w:left="113" w:right="113"/>
              <w:jc w:val="both"/>
              <w:rPr>
                <w:rFonts w:eastAsia="Times New Roman"/>
                <w:noProof/>
                <w:highlight w:val="yellow"/>
                <w:lang w:eastAsia="fr-BE"/>
              </w:rPr>
            </w:pPr>
          </w:p>
          <w:p w14:paraId="30DA2322" w14:textId="77777777" w:rsidR="000B511B" w:rsidRPr="00312461" w:rsidRDefault="000B511B" w:rsidP="00475E8B">
            <w:pPr>
              <w:spacing w:before="120" w:after="0" w:line="240" w:lineRule="auto"/>
              <w:ind w:left="113" w:right="113"/>
              <w:jc w:val="both"/>
              <w:rPr>
                <w:rFonts w:eastAsia="Times New Roman"/>
                <w:noProof/>
                <w:highlight w:val="yellow"/>
                <w:lang w:eastAsia="fr-BE"/>
              </w:rPr>
            </w:pPr>
          </w:p>
          <w:p w14:paraId="3B82958F"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1BB0705C"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5AD331FE"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7331BC6E"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5616BC06"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p>
          <w:p w14:paraId="413819F5"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20489570"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1B999D77"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F3AA569"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7E89C6A"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1C55E4E"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BBFC156" w14:textId="77777777" w:rsidR="000B511B" w:rsidRPr="00060CD1" w:rsidRDefault="000B511B" w:rsidP="00475E8B">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2" w:space="0" w:color="000000"/>
              <w:left w:val="single" w:sz="2" w:space="0" w:color="000000"/>
              <w:bottom w:val="nil"/>
              <w:right w:val="single" w:sz="4" w:space="0" w:color="auto"/>
            </w:tcBorders>
            <w:shd w:val="clear" w:color="auto" w:fill="auto"/>
          </w:tcPr>
          <w:p w14:paraId="4668C267"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3BF6D22B"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06E992EB"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49B5E5F0"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6242F43D"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3DA0B003"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88D337D"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BFD186E" w14:textId="77777777" w:rsidR="000B511B" w:rsidRPr="00312461" w:rsidRDefault="000B511B" w:rsidP="00475E8B">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779EFB84"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2923E2B4"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p>
          <w:p w14:paraId="60BCCEA8"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650F6DF"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B1B9BCF"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D352306"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A8D7A50"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09A46CD"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99AE3FD" w14:textId="77777777" w:rsidR="000B511B" w:rsidRPr="00312461" w:rsidRDefault="000B511B" w:rsidP="00475E8B">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5975D628" w14:textId="77777777" w:rsidTr="00804BA8">
        <w:trPr>
          <w:trHeight w:val="1610"/>
        </w:trPr>
        <w:tc>
          <w:tcPr>
            <w:tcW w:w="6780" w:type="dxa"/>
            <w:tcBorders>
              <w:top w:val="nil"/>
              <w:left w:val="single" w:sz="2" w:space="0" w:color="000000"/>
              <w:bottom w:val="single" w:sz="4" w:space="0" w:color="auto"/>
              <w:right w:val="single" w:sz="2" w:space="0" w:color="auto"/>
            </w:tcBorders>
            <w:shd w:val="clear" w:color="auto" w:fill="auto"/>
          </w:tcPr>
          <w:p w14:paraId="777A8C7A" w14:textId="77777777" w:rsidR="000B511B" w:rsidRDefault="000B511B" w:rsidP="000B511B">
            <w:pPr>
              <w:pStyle w:val="Lijstalinea"/>
              <w:numPr>
                <w:ilvl w:val="0"/>
                <w:numId w:val="2"/>
              </w:numPr>
              <w:tabs>
                <w:tab w:val="clear" w:pos="567"/>
                <w:tab w:val="left" w:pos="697"/>
              </w:tabs>
              <w:spacing w:before="0" w:line="240" w:lineRule="auto"/>
              <w:ind w:right="193"/>
            </w:pPr>
            <w:r w:rsidRPr="00991668">
              <w:rPr>
                <w:lang w:val="fr-BE"/>
              </w:rPr>
              <w:lastRenderedPageBreak/>
              <w:t>les services liés au financement, à la structure, ainsi qu'à l'allocation des capitaux et à la stratégie d'investissement de la société soumise au contrôle légal, sauf en ce qui concerne la fourniture de services d'assurance en rapport avec les états financiers, telle que l'émission de lettres de confort en lien avec des prospectus émis par la société soumise au contrôle légal</w:t>
            </w:r>
            <w:r>
              <w:rPr>
                <w:lang w:val="fr-BE"/>
              </w:rPr>
              <w:t> ?</w:t>
            </w:r>
          </w:p>
        </w:tc>
        <w:tc>
          <w:tcPr>
            <w:tcW w:w="848" w:type="dxa"/>
            <w:gridSpan w:val="2"/>
            <w:tcBorders>
              <w:top w:val="nil"/>
              <w:left w:val="single" w:sz="2" w:space="0" w:color="auto"/>
              <w:bottom w:val="single" w:sz="4" w:space="0" w:color="auto"/>
              <w:right w:val="single" w:sz="2" w:space="0" w:color="000000"/>
            </w:tcBorders>
            <w:shd w:val="clear" w:color="auto" w:fill="auto"/>
          </w:tcPr>
          <w:p w14:paraId="336C1CBB" w14:textId="77777777" w:rsidR="000B511B" w:rsidRPr="00060CD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559707E0"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tc>
        <w:tc>
          <w:tcPr>
            <w:tcW w:w="847" w:type="dxa"/>
            <w:gridSpan w:val="2"/>
            <w:tcBorders>
              <w:top w:val="nil"/>
              <w:left w:val="single" w:sz="2" w:space="0" w:color="000000"/>
              <w:bottom w:val="single" w:sz="4" w:space="0" w:color="auto"/>
              <w:right w:val="single" w:sz="2" w:space="0" w:color="000000"/>
            </w:tcBorders>
          </w:tcPr>
          <w:p w14:paraId="1E160354" w14:textId="77777777" w:rsidR="000B511B" w:rsidRPr="00060CD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4D8A7705"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tc>
        <w:tc>
          <w:tcPr>
            <w:tcW w:w="1154" w:type="dxa"/>
            <w:gridSpan w:val="2"/>
            <w:tcBorders>
              <w:top w:val="nil"/>
              <w:left w:val="single" w:sz="2" w:space="0" w:color="000000"/>
              <w:bottom w:val="single" w:sz="4" w:space="0" w:color="auto"/>
              <w:right w:val="single" w:sz="4" w:space="0" w:color="auto"/>
            </w:tcBorders>
            <w:shd w:val="clear" w:color="auto" w:fill="auto"/>
          </w:tcPr>
          <w:p w14:paraId="5404DBEC"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7A8DF17F" w14:textId="77777777" w:rsidTr="00804BA8">
        <w:trPr>
          <w:trHeight w:val="2771"/>
        </w:trPr>
        <w:tc>
          <w:tcPr>
            <w:tcW w:w="6780" w:type="dxa"/>
            <w:tcBorders>
              <w:top w:val="single" w:sz="4" w:space="0" w:color="auto"/>
              <w:left w:val="single" w:sz="2" w:space="0" w:color="000000"/>
              <w:bottom w:val="single" w:sz="2" w:space="0" w:color="FFFFFF"/>
              <w:right w:val="single" w:sz="2" w:space="0" w:color="auto"/>
            </w:tcBorders>
            <w:shd w:val="clear" w:color="auto" w:fill="auto"/>
          </w:tcPr>
          <w:p w14:paraId="18A5AC2D" w14:textId="77777777" w:rsidR="000B511B" w:rsidRPr="00991668" w:rsidRDefault="000B511B" w:rsidP="00475E8B">
            <w:pPr>
              <w:keepLines/>
              <w:spacing w:before="120" w:after="120" w:line="240" w:lineRule="auto"/>
              <w:ind w:left="130" w:right="193"/>
              <w:jc w:val="both"/>
              <w:rPr>
                <w:rFonts w:eastAsia="Times New Roman"/>
                <w:lang w:eastAsia="fr-BE"/>
              </w:rPr>
            </w:pPr>
            <w:r>
              <w:rPr>
                <w:rFonts w:eastAsia="Times New Roman"/>
                <w:lang w:eastAsia="fr-BE"/>
              </w:rPr>
              <w:t xml:space="preserve">1.2. </w:t>
            </w:r>
            <w:r w:rsidRPr="00991668">
              <w:rPr>
                <w:rFonts w:eastAsia="Times New Roman"/>
                <w:lang w:eastAsia="fr-BE"/>
              </w:rPr>
              <w:t xml:space="preserve">Les services repris ci-avant sous 1° a) et d) à g) remplissent-ils les exigences cumulatives suivantes : </w:t>
            </w:r>
          </w:p>
          <w:p w14:paraId="26CB068D" w14:textId="77777777" w:rsidR="000B511B" w:rsidRPr="00991668" w:rsidRDefault="000B511B" w:rsidP="000B511B">
            <w:pPr>
              <w:pStyle w:val="Lijstalinea"/>
              <w:numPr>
                <w:ilvl w:val="0"/>
                <w:numId w:val="3"/>
              </w:numPr>
              <w:tabs>
                <w:tab w:val="clear" w:pos="567"/>
                <w:tab w:val="left" w:pos="697"/>
              </w:tabs>
              <w:spacing w:line="240" w:lineRule="auto"/>
              <w:ind w:right="193"/>
              <w:rPr>
                <w:lang w:val="fr-BE"/>
              </w:rPr>
            </w:pPr>
            <w:r w:rsidRPr="00991668">
              <w:rPr>
                <w:lang w:val="fr-BE"/>
              </w:rPr>
              <w:t>les services n'ont pas d'effet direct ou ont un effet peu significatif, séparément ou dans leur ensemble, sur les comptes annuels contrôlés </w:t>
            </w:r>
            <w:r>
              <w:rPr>
                <w:lang w:val="fr-BE"/>
              </w:rPr>
              <w:t>?</w:t>
            </w:r>
          </w:p>
          <w:p w14:paraId="55C71EA5" w14:textId="77777777" w:rsidR="000B511B" w:rsidRPr="007E5FB4" w:rsidRDefault="000B511B" w:rsidP="000B511B">
            <w:pPr>
              <w:pStyle w:val="Lijstalinea"/>
              <w:numPr>
                <w:ilvl w:val="0"/>
                <w:numId w:val="3"/>
              </w:numPr>
              <w:tabs>
                <w:tab w:val="clear" w:pos="567"/>
                <w:tab w:val="left" w:pos="697"/>
              </w:tabs>
              <w:spacing w:line="240" w:lineRule="auto"/>
              <w:ind w:right="193"/>
            </w:pPr>
            <w:r w:rsidRPr="00991668">
              <w:rPr>
                <w:lang w:val="fr-BE"/>
              </w:rPr>
              <w:t>l'appréciation de l'effet sur les comptes annuels contrôlés est documenté et expliqué de manière complète dans le rapport complémentaire destiné au comité d'audit visé à l'article 11 du règlement (UE) n° 537/2014</w:t>
            </w:r>
            <w:r>
              <w:rPr>
                <w:lang w:val="fr-BE"/>
              </w:rPr>
              <w:t> ?</w:t>
            </w:r>
          </w:p>
          <w:p w14:paraId="52EF8E76" w14:textId="77777777" w:rsidR="000B511B" w:rsidRPr="00FB6066" w:rsidRDefault="000B511B" w:rsidP="000B511B">
            <w:pPr>
              <w:pStyle w:val="Lijstalinea"/>
              <w:numPr>
                <w:ilvl w:val="0"/>
                <w:numId w:val="3"/>
              </w:numPr>
              <w:tabs>
                <w:tab w:val="clear" w:pos="567"/>
                <w:tab w:val="left" w:pos="697"/>
              </w:tabs>
              <w:spacing w:line="240" w:lineRule="auto"/>
              <w:ind w:right="193"/>
            </w:pPr>
            <w:r w:rsidRPr="00991668">
              <w:rPr>
                <w:lang w:val="fr-BE"/>
              </w:rPr>
              <w:t>le commissaire respecte les principes généraux en matière d'indépendance</w:t>
            </w:r>
            <w:r>
              <w:rPr>
                <w:lang w:val="fr-BE"/>
              </w:rPr>
              <w:t> ?</w:t>
            </w:r>
          </w:p>
        </w:tc>
        <w:tc>
          <w:tcPr>
            <w:tcW w:w="848" w:type="dxa"/>
            <w:gridSpan w:val="2"/>
            <w:tcBorders>
              <w:top w:val="single" w:sz="4" w:space="0" w:color="auto"/>
              <w:left w:val="single" w:sz="2" w:space="0" w:color="auto"/>
              <w:bottom w:val="single" w:sz="2" w:space="0" w:color="FFFFFF"/>
              <w:right w:val="single" w:sz="2" w:space="0" w:color="000000"/>
            </w:tcBorders>
            <w:shd w:val="clear" w:color="auto" w:fill="auto"/>
          </w:tcPr>
          <w:p w14:paraId="4B391BA2"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68E5FCBA"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5A1D5478" w14:textId="77777777" w:rsidR="000B511B" w:rsidRPr="00060CD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23E64D3"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1EAEB557"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2F6F9769"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7105196"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4" w:space="0" w:color="auto"/>
              <w:left w:val="single" w:sz="2" w:space="0" w:color="000000"/>
              <w:bottom w:val="single" w:sz="2" w:space="0" w:color="FFFFFF"/>
              <w:right w:val="single" w:sz="2" w:space="0" w:color="000000"/>
            </w:tcBorders>
          </w:tcPr>
          <w:p w14:paraId="7816DB67"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1FEBFE8C"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3B910BB7" w14:textId="77777777" w:rsidR="000B511B" w:rsidRPr="00060CD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467B3090"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7F02F048"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p>
          <w:p w14:paraId="2EC8F08B" w14:textId="77777777" w:rsidR="000B511B" w:rsidRPr="00060CD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DC0DE08" w14:textId="77777777" w:rsidR="000B511B" w:rsidRPr="00312461" w:rsidRDefault="000B511B" w:rsidP="00475E8B">
            <w:pPr>
              <w:spacing w:before="120" w:after="120" w:line="240" w:lineRule="auto"/>
              <w:ind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4" w:space="0" w:color="auto"/>
              <w:left w:val="single" w:sz="2" w:space="0" w:color="000000"/>
              <w:bottom w:val="single" w:sz="2" w:space="0" w:color="FFFFFF"/>
              <w:right w:val="single" w:sz="4" w:space="0" w:color="auto"/>
            </w:tcBorders>
            <w:shd w:val="clear" w:color="auto" w:fill="auto"/>
          </w:tcPr>
          <w:p w14:paraId="1B12DB6F"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p>
          <w:p w14:paraId="3D78F4FC"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p>
          <w:p w14:paraId="645B4235"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C07E337"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p>
          <w:p w14:paraId="75A48766"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p>
          <w:p w14:paraId="43EB4CC4" w14:textId="77777777" w:rsidR="000B511B" w:rsidRPr="00312461" w:rsidRDefault="000B511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4ECC6A8" w14:textId="77777777" w:rsidR="000B511B" w:rsidRPr="00312461" w:rsidRDefault="000B511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511B" w:rsidRPr="007038E4" w14:paraId="6A7FF8DD" w14:textId="77777777" w:rsidTr="00804BA8">
        <w:trPr>
          <w:trHeight w:val="975"/>
        </w:trPr>
        <w:tc>
          <w:tcPr>
            <w:tcW w:w="6780" w:type="dxa"/>
            <w:tcBorders>
              <w:top w:val="nil"/>
              <w:left w:val="single" w:sz="2" w:space="0" w:color="000000"/>
              <w:bottom w:val="single" w:sz="2" w:space="0" w:color="FFFFFF"/>
              <w:right w:val="single" w:sz="2" w:space="0" w:color="auto"/>
            </w:tcBorders>
            <w:shd w:val="clear" w:color="auto" w:fill="auto"/>
          </w:tcPr>
          <w:p w14:paraId="32768681" w14:textId="17C2FF3C" w:rsidR="000B511B" w:rsidRPr="007038E4" w:rsidRDefault="000B511B" w:rsidP="00475E8B">
            <w:pPr>
              <w:spacing w:after="120" w:line="240" w:lineRule="auto"/>
              <w:ind w:left="113" w:right="193"/>
              <w:jc w:val="both"/>
              <w:rPr>
                <w:rFonts w:eastAsia="Times New Roman"/>
                <w:lang w:eastAsia="fr-BE"/>
              </w:rPr>
            </w:pPr>
            <w:r>
              <w:rPr>
                <w:rFonts w:eastAsia="Times New Roman"/>
                <w:lang w:eastAsia="fr-BE"/>
              </w:rPr>
              <w:t xml:space="preserve">1.3. Le cas échéant, le commissaire faisant partie d’un réseau ou un membre de ce réseau ont-ils été autorisés par un membre du comité d’audit à </w:t>
            </w:r>
            <w:r w:rsidRPr="0040541F">
              <w:rPr>
                <w:rFonts w:eastAsia="Times New Roman"/>
                <w:lang w:eastAsia="fr-BE"/>
              </w:rPr>
              <w:t>fournir des services non-audit qui ne sont pas interdits à cette entité d'intérêt public</w:t>
            </w:r>
            <w:r>
              <w:rPr>
                <w:rFonts w:eastAsia="Times New Roman"/>
                <w:lang w:eastAsia="fr-BE"/>
              </w:rPr>
              <w:t> ?</w:t>
            </w:r>
          </w:p>
        </w:tc>
        <w:tc>
          <w:tcPr>
            <w:tcW w:w="848" w:type="dxa"/>
            <w:gridSpan w:val="2"/>
            <w:tcBorders>
              <w:top w:val="nil"/>
              <w:left w:val="single" w:sz="2" w:space="0" w:color="auto"/>
              <w:bottom w:val="single" w:sz="2" w:space="0" w:color="FFFFFF"/>
              <w:right w:val="single" w:sz="2" w:space="0" w:color="000000"/>
            </w:tcBorders>
            <w:shd w:val="clear" w:color="auto" w:fill="auto"/>
          </w:tcPr>
          <w:p w14:paraId="0812D5F6" w14:textId="77777777" w:rsidR="000B511B" w:rsidRPr="00312461" w:rsidRDefault="000B511B" w:rsidP="00475E8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nil"/>
              <w:left w:val="single" w:sz="2" w:space="0" w:color="000000"/>
              <w:bottom w:val="single" w:sz="2" w:space="0" w:color="FFFFFF"/>
              <w:right w:val="single" w:sz="2" w:space="0" w:color="000000"/>
            </w:tcBorders>
          </w:tcPr>
          <w:p w14:paraId="55A702B3" w14:textId="77777777" w:rsidR="000B511B" w:rsidRPr="00312461" w:rsidRDefault="000B511B" w:rsidP="00475E8B">
            <w:pPr>
              <w:spacing w:before="120" w:after="120" w:line="240" w:lineRule="auto"/>
              <w:ind w:left="113" w:right="113"/>
              <w:jc w:val="both"/>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nil"/>
              <w:left w:val="single" w:sz="2" w:space="0" w:color="000000"/>
              <w:bottom w:val="single" w:sz="2" w:space="0" w:color="FFFFFF"/>
              <w:right w:val="single" w:sz="4" w:space="0" w:color="auto"/>
            </w:tcBorders>
            <w:shd w:val="clear" w:color="auto" w:fill="auto"/>
          </w:tcPr>
          <w:p w14:paraId="031F800C" w14:textId="77777777" w:rsidR="000B511B" w:rsidRPr="00312461" w:rsidRDefault="000B511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7977F063" w14:textId="77777777" w:rsidTr="00804BA8">
        <w:tc>
          <w:tcPr>
            <w:tcW w:w="9629" w:type="dxa"/>
            <w:gridSpan w:val="7"/>
            <w:tcBorders>
              <w:bottom w:val="single" w:sz="4" w:space="0" w:color="auto"/>
            </w:tcBorders>
          </w:tcPr>
          <w:p w14:paraId="7DD89924" w14:textId="77777777" w:rsidR="00030C87" w:rsidRPr="007038E4" w:rsidRDefault="00030C87" w:rsidP="00DB5079">
            <w:pPr>
              <w:spacing w:before="120" w:after="120" w:line="240" w:lineRule="auto"/>
              <w:ind w:left="107" w:right="193"/>
              <w:jc w:val="both"/>
              <w:rPr>
                <w:rFonts w:eastAsia="Times New Roman" w:cs="Times New Roman"/>
                <w:sz w:val="24"/>
                <w:lang w:eastAsia="fr-BE"/>
              </w:rPr>
            </w:pPr>
            <w:r>
              <w:rPr>
                <w:rFonts w:eastAsia="Times New Roman"/>
                <w:lang w:eastAsia="fr-BE"/>
              </w:rPr>
              <w:t>2</w:t>
            </w:r>
            <w:r w:rsidRPr="007038E4">
              <w:rPr>
                <w:rFonts w:eastAsia="Times New Roman"/>
                <w:lang w:eastAsia="fr-BE"/>
              </w:rPr>
              <w:t>. Prestations de services non audit autorisés et indépendance pour les EIP (art 133/2 §1</w:t>
            </w:r>
            <w:r>
              <w:rPr>
                <w:rFonts w:eastAsia="Times New Roman"/>
                <w:lang w:eastAsia="fr-BE"/>
              </w:rPr>
              <w:t>-2 et 134 §7</w:t>
            </w:r>
            <w:r w:rsidRPr="007038E4">
              <w:rPr>
                <w:rFonts w:eastAsia="Times New Roman"/>
                <w:lang w:eastAsia="fr-BE"/>
              </w:rPr>
              <w:t xml:space="preserve"> C. Soc.</w:t>
            </w:r>
            <w:r>
              <w:rPr>
                <w:rFonts w:eastAsia="Times New Roman"/>
                <w:lang w:eastAsia="fr-BE"/>
              </w:rPr>
              <w:t>/ art. 3:64, §1-2 et 3:65 §7 CSA</w:t>
            </w:r>
            <w:r w:rsidRPr="007038E4">
              <w:rPr>
                <w:rFonts w:eastAsia="Times New Roman"/>
                <w:lang w:eastAsia="fr-BE"/>
              </w:rPr>
              <w:t>)</w:t>
            </w:r>
          </w:p>
        </w:tc>
      </w:tr>
      <w:tr w:rsidR="00030C87" w:rsidRPr="007038E4" w14:paraId="5AABCBD1" w14:textId="77777777" w:rsidTr="00804BA8">
        <w:trPr>
          <w:trHeight w:val="2068"/>
        </w:trPr>
        <w:tc>
          <w:tcPr>
            <w:tcW w:w="6780" w:type="dxa"/>
            <w:tcBorders>
              <w:top w:val="single" w:sz="4" w:space="0" w:color="auto"/>
              <w:bottom w:val="nil"/>
            </w:tcBorders>
            <w:shd w:val="clear" w:color="auto" w:fill="auto"/>
          </w:tcPr>
          <w:p w14:paraId="0634ECCA" w14:textId="77777777" w:rsidR="00030C87" w:rsidRPr="00C463BB" w:rsidRDefault="00030C87" w:rsidP="00DB5079">
            <w:pPr>
              <w:spacing w:before="120" w:after="120" w:line="240" w:lineRule="auto"/>
              <w:ind w:left="113" w:right="193"/>
              <w:jc w:val="both"/>
              <w:rPr>
                <w:bCs/>
              </w:rPr>
            </w:pPr>
            <w:r>
              <w:rPr>
                <w:bCs/>
              </w:rPr>
              <w:t xml:space="preserve">2.1. </w:t>
            </w:r>
            <w:r w:rsidRPr="00C463BB">
              <w:rPr>
                <w:bCs/>
              </w:rPr>
              <w:t>Les honoraires des services autres que les missions confiées par la loi ou par la réglementation de l'Union européenne au commissaire, dépassent-ils 70 % du montant total de ces honoraires audit sur base de 3 exercices comptables du mandat?</w:t>
            </w:r>
          </w:p>
          <w:p w14:paraId="376CB96E" w14:textId="77777777" w:rsidR="00030C87" w:rsidRPr="00991668" w:rsidRDefault="00030C87" w:rsidP="00DB5079">
            <w:pPr>
              <w:pStyle w:val="Lijstalinea"/>
              <w:numPr>
                <w:ilvl w:val="0"/>
                <w:numId w:val="0"/>
              </w:numPr>
              <w:tabs>
                <w:tab w:val="left" w:pos="641"/>
              </w:tabs>
              <w:spacing w:after="0" w:line="240" w:lineRule="auto"/>
              <w:ind w:left="567" w:right="193"/>
              <w:rPr>
                <w:bCs/>
                <w:lang w:val="fr-BE"/>
              </w:rPr>
            </w:pPr>
            <w:r w:rsidRPr="00991668">
              <w:rPr>
                <w:bCs/>
                <w:lang w:val="fr-BE"/>
              </w:rPr>
              <w:t xml:space="preserve">(le calcul est à effectuer pour l’ensemble constitué par l’entité contrôlée, sa société mère et ses filiales mais limité aux services non audit du commissaire de l’entité et non des prestations de son réseau) </w:t>
            </w:r>
          </w:p>
        </w:tc>
        <w:tc>
          <w:tcPr>
            <w:tcW w:w="848" w:type="dxa"/>
            <w:gridSpan w:val="2"/>
            <w:tcBorders>
              <w:top w:val="single" w:sz="4" w:space="0" w:color="auto"/>
              <w:bottom w:val="nil"/>
            </w:tcBorders>
            <w:shd w:val="clear" w:color="auto" w:fill="auto"/>
          </w:tcPr>
          <w:p w14:paraId="611285B4"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4" w:space="0" w:color="auto"/>
              <w:bottom w:val="nil"/>
            </w:tcBorders>
          </w:tcPr>
          <w:p w14:paraId="1EA034F1"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4" w:space="0" w:color="auto"/>
              <w:bottom w:val="nil"/>
            </w:tcBorders>
            <w:shd w:val="clear" w:color="auto" w:fill="auto"/>
          </w:tcPr>
          <w:p w14:paraId="031BC045"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2FED4259" w14:textId="77777777" w:rsidTr="00804BA8">
        <w:trPr>
          <w:trHeight w:val="1172"/>
        </w:trPr>
        <w:tc>
          <w:tcPr>
            <w:tcW w:w="6780" w:type="dxa"/>
            <w:tcBorders>
              <w:top w:val="nil"/>
              <w:bottom w:val="nil"/>
            </w:tcBorders>
            <w:shd w:val="clear" w:color="auto" w:fill="auto"/>
          </w:tcPr>
          <w:p w14:paraId="0BB6E5FA" w14:textId="77777777" w:rsidR="00030C87" w:rsidRPr="00991668" w:rsidRDefault="00030C87" w:rsidP="00DB5079">
            <w:pPr>
              <w:spacing w:before="120" w:after="120" w:line="240" w:lineRule="auto"/>
              <w:ind w:left="113" w:right="193"/>
              <w:jc w:val="both"/>
              <w:rPr>
                <w:bCs/>
              </w:rPr>
            </w:pPr>
            <w:r>
              <w:rPr>
                <w:bCs/>
              </w:rPr>
              <w:t xml:space="preserve">2.2. Cas de dérogation : </w:t>
            </w:r>
            <w:r w:rsidRPr="00991668">
              <w:rPr>
                <w:bCs/>
              </w:rPr>
              <w:t xml:space="preserve">Si oui, le Collège de supervision des réviseurs d'entreprises </w:t>
            </w:r>
            <w:r>
              <w:rPr>
                <w:bCs/>
              </w:rPr>
              <w:t xml:space="preserve">(CSR) </w:t>
            </w:r>
            <w:r w:rsidRPr="00991668">
              <w:rPr>
                <w:bCs/>
              </w:rPr>
              <w:t>a-t-il dispensé le commissaire de respecter l'interdiction visée au point précédent et ce pour une période maximale de deux exercices comptables.</w:t>
            </w:r>
          </w:p>
        </w:tc>
        <w:tc>
          <w:tcPr>
            <w:tcW w:w="848" w:type="dxa"/>
            <w:gridSpan w:val="2"/>
            <w:tcBorders>
              <w:top w:val="nil"/>
              <w:bottom w:val="nil"/>
            </w:tcBorders>
            <w:shd w:val="clear" w:color="auto" w:fill="auto"/>
          </w:tcPr>
          <w:p w14:paraId="02A15229"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nil"/>
              <w:bottom w:val="nil"/>
            </w:tcBorders>
          </w:tcPr>
          <w:p w14:paraId="01D99410"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nil"/>
              <w:bottom w:val="nil"/>
            </w:tcBorders>
            <w:shd w:val="clear" w:color="auto" w:fill="auto"/>
          </w:tcPr>
          <w:p w14:paraId="1311E0E4"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1D669D8B" w14:textId="77777777" w:rsidTr="00804BA8">
        <w:trPr>
          <w:trHeight w:val="677"/>
        </w:trPr>
        <w:tc>
          <w:tcPr>
            <w:tcW w:w="6780" w:type="dxa"/>
            <w:tcBorders>
              <w:top w:val="nil"/>
              <w:bottom w:val="nil"/>
            </w:tcBorders>
            <w:shd w:val="clear" w:color="auto" w:fill="auto"/>
          </w:tcPr>
          <w:p w14:paraId="3C17130A" w14:textId="42292AA3" w:rsidR="00030C87" w:rsidRPr="00991668" w:rsidRDefault="00030C87" w:rsidP="00DB5079">
            <w:pPr>
              <w:spacing w:before="120" w:after="120" w:line="240" w:lineRule="auto"/>
              <w:ind w:left="113" w:right="193"/>
              <w:jc w:val="both"/>
              <w:rPr>
                <w:bCs/>
              </w:rPr>
            </w:pPr>
            <w:r>
              <w:rPr>
                <w:bCs/>
              </w:rPr>
              <w:t>2.3. En cas de dérogation,</w:t>
            </w:r>
            <w:r w:rsidRPr="00991668">
              <w:rPr>
                <w:bCs/>
              </w:rPr>
              <w:t xml:space="preserve"> </w:t>
            </w:r>
            <w:r>
              <w:rPr>
                <w:rFonts w:eastAsia="Times New Roman"/>
                <w:bCs/>
                <w:lang w:eastAsia="fr-BE"/>
              </w:rPr>
              <w:t>l</w:t>
            </w:r>
            <w:r w:rsidRPr="007038E4">
              <w:rPr>
                <w:rFonts w:eastAsia="Times New Roman"/>
                <w:bCs/>
                <w:lang w:eastAsia="fr-BE"/>
              </w:rPr>
              <w:t xml:space="preserve">a </w:t>
            </w:r>
            <w:r w:rsidRPr="007038E4">
              <w:rPr>
                <w:rFonts w:eastAsia="Times New Roman"/>
                <w:lang w:eastAsia="fr-BE"/>
              </w:rPr>
              <w:t>motivation</w:t>
            </w:r>
            <w:r w:rsidRPr="007038E4">
              <w:rPr>
                <w:rFonts w:eastAsia="Times New Roman"/>
                <w:bCs/>
                <w:lang w:eastAsia="fr-BE"/>
              </w:rPr>
              <w:t xml:space="preserve"> et la dérogation </w:t>
            </w:r>
            <w:r>
              <w:rPr>
                <w:rFonts w:eastAsia="Times New Roman"/>
                <w:bCs/>
                <w:lang w:eastAsia="fr-BE"/>
              </w:rPr>
              <w:t>ont</w:t>
            </w:r>
            <w:r w:rsidRPr="007038E4">
              <w:rPr>
                <w:rFonts w:eastAsia="Times New Roman"/>
                <w:bCs/>
                <w:lang w:eastAsia="fr-BE"/>
              </w:rPr>
              <w:t>-t-elle</w:t>
            </w:r>
            <w:r>
              <w:rPr>
                <w:rFonts w:eastAsia="Times New Roman"/>
                <w:bCs/>
                <w:lang w:eastAsia="fr-BE"/>
              </w:rPr>
              <w:t>s</w:t>
            </w:r>
            <w:r w:rsidRPr="007038E4">
              <w:rPr>
                <w:rFonts w:eastAsia="Times New Roman"/>
                <w:bCs/>
                <w:lang w:eastAsia="fr-BE"/>
              </w:rPr>
              <w:t xml:space="preserve"> été </w:t>
            </w:r>
            <w:r>
              <w:rPr>
                <w:rFonts w:eastAsia="Times New Roman"/>
                <w:bCs/>
                <w:lang w:eastAsia="fr-BE"/>
              </w:rPr>
              <w:t>traitées</w:t>
            </w:r>
            <w:r w:rsidRPr="007038E4">
              <w:rPr>
                <w:rFonts w:eastAsia="Times New Roman"/>
                <w:bCs/>
                <w:lang w:eastAsia="fr-BE"/>
              </w:rPr>
              <w:t xml:space="preserve"> </w:t>
            </w:r>
            <w:r w:rsidRPr="00991668">
              <w:rPr>
                <w:bCs/>
              </w:rPr>
              <w:t xml:space="preserve">conformément au </w:t>
            </w:r>
            <w:r>
              <w:rPr>
                <w:bCs/>
              </w:rPr>
              <w:t>C</w:t>
            </w:r>
            <w:r w:rsidRPr="00991668">
              <w:rPr>
                <w:bCs/>
              </w:rPr>
              <w:t>ode des sociétés</w:t>
            </w:r>
            <w:r>
              <w:rPr>
                <w:bCs/>
              </w:rPr>
              <w:t>/</w:t>
            </w:r>
            <w:r w:rsidRPr="007038E4">
              <w:rPr>
                <w:rFonts w:eastAsia="Times New Roman" w:cs="Times New Roman"/>
                <w:lang w:eastAsia="fr-BE"/>
              </w:rPr>
              <w:t xml:space="preserve"> Code des sociétés</w:t>
            </w:r>
            <w:r>
              <w:rPr>
                <w:rFonts w:eastAsia="Times New Roman" w:cs="Times New Roman"/>
                <w:lang w:eastAsia="fr-BE"/>
              </w:rPr>
              <w:t xml:space="preserve"> et des associations</w:t>
            </w:r>
            <w:r>
              <w:rPr>
                <w:bCs/>
              </w:rPr>
              <w:t xml:space="preserve"> (en annexe des comptes annuels </w:t>
            </w:r>
            <w:r>
              <w:rPr>
                <w:rFonts w:eastAsia="Times New Roman"/>
                <w:bCs/>
                <w:lang w:eastAsia="fr-BE"/>
              </w:rPr>
              <w:t>ou rapport du commissaire)</w:t>
            </w:r>
            <w:r w:rsidRPr="00991668">
              <w:rPr>
                <w:bCs/>
              </w:rPr>
              <w:t xml:space="preserve"> ?</w:t>
            </w:r>
          </w:p>
        </w:tc>
        <w:tc>
          <w:tcPr>
            <w:tcW w:w="848" w:type="dxa"/>
            <w:gridSpan w:val="2"/>
            <w:tcBorders>
              <w:top w:val="nil"/>
              <w:bottom w:val="nil"/>
            </w:tcBorders>
            <w:shd w:val="clear" w:color="auto" w:fill="auto"/>
          </w:tcPr>
          <w:p w14:paraId="5C422B91"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nil"/>
              <w:bottom w:val="nil"/>
            </w:tcBorders>
          </w:tcPr>
          <w:p w14:paraId="718E37B5"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nil"/>
              <w:bottom w:val="nil"/>
            </w:tcBorders>
            <w:shd w:val="clear" w:color="auto" w:fill="auto"/>
          </w:tcPr>
          <w:p w14:paraId="77FC1961"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755E33FA" w14:textId="77777777" w:rsidTr="00804BA8">
        <w:trPr>
          <w:trHeight w:val="1313"/>
        </w:trPr>
        <w:tc>
          <w:tcPr>
            <w:tcW w:w="6780" w:type="dxa"/>
            <w:tcBorders>
              <w:top w:val="nil"/>
              <w:bottom w:val="nil"/>
            </w:tcBorders>
            <w:shd w:val="clear" w:color="auto" w:fill="auto"/>
          </w:tcPr>
          <w:p w14:paraId="04B6A85A" w14:textId="77777777" w:rsidR="00030C87" w:rsidRPr="00991668" w:rsidRDefault="00030C87" w:rsidP="00DB5079">
            <w:pPr>
              <w:spacing w:before="120" w:after="120" w:line="240" w:lineRule="auto"/>
              <w:ind w:left="113" w:right="193"/>
              <w:jc w:val="both"/>
            </w:pPr>
            <w:r>
              <w:rPr>
                <w:bCs/>
              </w:rPr>
              <w:t xml:space="preserve">2.4. </w:t>
            </w:r>
            <w:r w:rsidRPr="00991668">
              <w:rPr>
                <w:bCs/>
              </w:rPr>
              <w:t xml:space="preserve">Les </w:t>
            </w:r>
            <w:r w:rsidRPr="00C463BB">
              <w:rPr>
                <w:rFonts w:eastAsia="Times New Roman"/>
                <w:bCs/>
                <w:lang w:eastAsia="fr-BE"/>
              </w:rPr>
              <w:t>honoraires</w:t>
            </w:r>
            <w:r w:rsidRPr="00991668">
              <w:rPr>
                <w:bCs/>
              </w:rPr>
              <w:t xml:space="preserve"> totaux reçus d'une entité d'intérêt public visée à l'article 4/1 C. </w:t>
            </w:r>
            <w:r w:rsidRPr="00991668">
              <w:t>Soc</w:t>
            </w:r>
            <w:r>
              <w:t>./article 1:12 CSA</w:t>
            </w:r>
            <w:r w:rsidRPr="00991668">
              <w:t>.</w:t>
            </w:r>
            <w:r w:rsidRPr="00991668">
              <w:rPr>
                <w:bCs/>
              </w:rPr>
              <w:t xml:space="preserve"> au cours de chacun des trois derniers exercices consécutifs représentent-ils plus de </w:t>
            </w:r>
            <w:r>
              <w:rPr>
                <w:bCs/>
              </w:rPr>
              <w:t>15%</w:t>
            </w:r>
            <w:r w:rsidRPr="00991668">
              <w:rPr>
                <w:bCs/>
              </w:rPr>
              <w:t xml:space="preserve"> du total des honoraires reçus par le commissaire effectuant le contrôle légal des comptes au cours de chacun de ces exercices (art 134 §7 C. </w:t>
            </w:r>
            <w:r w:rsidRPr="00991668">
              <w:t>Soc.</w:t>
            </w:r>
            <w:r>
              <w:t>/art. 3:65 §7 CSA</w:t>
            </w:r>
            <w:r w:rsidRPr="00991668">
              <w:rPr>
                <w:bCs/>
              </w:rPr>
              <w:t>) ?</w:t>
            </w:r>
          </w:p>
        </w:tc>
        <w:tc>
          <w:tcPr>
            <w:tcW w:w="848" w:type="dxa"/>
            <w:gridSpan w:val="2"/>
            <w:tcBorders>
              <w:top w:val="nil"/>
              <w:bottom w:val="nil"/>
            </w:tcBorders>
            <w:shd w:val="clear" w:color="auto" w:fill="auto"/>
          </w:tcPr>
          <w:p w14:paraId="6E6549C7" w14:textId="77777777" w:rsidR="00030C87" w:rsidRPr="00312461" w:rsidRDefault="00030C87"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47" w:type="dxa"/>
            <w:gridSpan w:val="2"/>
            <w:tcBorders>
              <w:top w:val="nil"/>
              <w:bottom w:val="nil"/>
            </w:tcBorders>
          </w:tcPr>
          <w:p w14:paraId="3ECC4344"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54" w:type="dxa"/>
            <w:gridSpan w:val="2"/>
            <w:tcBorders>
              <w:top w:val="nil"/>
              <w:bottom w:val="nil"/>
            </w:tcBorders>
            <w:shd w:val="clear" w:color="auto" w:fill="auto"/>
          </w:tcPr>
          <w:p w14:paraId="3D3D57CD"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51C55FEC" w14:textId="77777777" w:rsidTr="00804BA8">
        <w:tc>
          <w:tcPr>
            <w:tcW w:w="6780" w:type="dxa"/>
            <w:tcBorders>
              <w:top w:val="nil"/>
            </w:tcBorders>
            <w:shd w:val="clear" w:color="auto" w:fill="auto"/>
          </w:tcPr>
          <w:p w14:paraId="39FCFC3A" w14:textId="77777777" w:rsidR="00030C87" w:rsidRDefault="00030C87" w:rsidP="00DB5079">
            <w:pPr>
              <w:spacing w:before="120" w:after="120" w:line="240" w:lineRule="auto"/>
              <w:ind w:left="113" w:right="193"/>
              <w:jc w:val="both"/>
              <w:rPr>
                <w:bCs/>
              </w:rPr>
            </w:pPr>
            <w:r>
              <w:rPr>
                <w:bCs/>
              </w:rPr>
              <w:t xml:space="preserve">2.5. </w:t>
            </w:r>
            <w:r w:rsidRPr="00991668">
              <w:rPr>
                <w:bCs/>
              </w:rPr>
              <w:t>Si oui, le commissaire, en a-t-il informé le comité d'audit et analysé avec lui les risques pesant sur son indépendance et les mesures de sauvegarde appliquées pour atténuer ces risques ?</w:t>
            </w:r>
          </w:p>
          <w:p w14:paraId="39650108" w14:textId="77777777" w:rsidR="00030C87" w:rsidRDefault="00030C87" w:rsidP="00DB5079">
            <w:pPr>
              <w:spacing w:before="120" w:after="120" w:line="240" w:lineRule="auto"/>
              <w:ind w:left="113" w:right="193"/>
              <w:jc w:val="both"/>
              <w:rPr>
                <w:bCs/>
              </w:rPr>
            </w:pPr>
          </w:p>
          <w:p w14:paraId="72E56014" w14:textId="77777777" w:rsidR="00030C87" w:rsidRPr="00991668" w:rsidRDefault="00030C87" w:rsidP="00DB5079">
            <w:pPr>
              <w:spacing w:before="120" w:after="120" w:line="240" w:lineRule="auto"/>
              <w:ind w:left="113" w:right="193"/>
              <w:jc w:val="both"/>
              <w:rPr>
                <w:bCs/>
              </w:rPr>
            </w:pPr>
          </w:p>
        </w:tc>
        <w:tc>
          <w:tcPr>
            <w:tcW w:w="848" w:type="dxa"/>
            <w:gridSpan w:val="2"/>
            <w:tcBorders>
              <w:top w:val="nil"/>
            </w:tcBorders>
            <w:shd w:val="clear" w:color="auto" w:fill="auto"/>
          </w:tcPr>
          <w:p w14:paraId="64A3C6BD" w14:textId="77777777" w:rsidR="00030C87" w:rsidRPr="00312461" w:rsidRDefault="00030C87"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47" w:type="dxa"/>
            <w:gridSpan w:val="2"/>
            <w:tcBorders>
              <w:top w:val="nil"/>
            </w:tcBorders>
          </w:tcPr>
          <w:p w14:paraId="7A0C3B04"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54" w:type="dxa"/>
            <w:gridSpan w:val="2"/>
            <w:tcBorders>
              <w:top w:val="nil"/>
            </w:tcBorders>
            <w:shd w:val="clear" w:color="auto" w:fill="auto"/>
          </w:tcPr>
          <w:p w14:paraId="4240FA0B"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6F8C8F57" w14:textId="77777777" w:rsidTr="00804BA8">
        <w:tc>
          <w:tcPr>
            <w:tcW w:w="9629" w:type="dxa"/>
            <w:gridSpan w:val="7"/>
            <w:tcBorders>
              <w:top w:val="single" w:sz="2" w:space="0" w:color="000000"/>
              <w:left w:val="single" w:sz="2" w:space="0" w:color="000000"/>
              <w:bottom w:val="single" w:sz="4" w:space="0" w:color="auto"/>
              <w:right w:val="single" w:sz="4" w:space="0" w:color="auto"/>
            </w:tcBorders>
          </w:tcPr>
          <w:p w14:paraId="1BFDB81A" w14:textId="77777777" w:rsidR="00030C87" w:rsidRPr="00060CD1" w:rsidRDefault="00030C87" w:rsidP="00DB5079">
            <w:pPr>
              <w:spacing w:before="240" w:line="240" w:lineRule="auto"/>
              <w:ind w:left="107" w:right="193"/>
              <w:rPr>
                <w:rFonts w:eastAsia="Times New Roman"/>
                <w:b/>
                <w:lang w:eastAsia="fr-BE"/>
              </w:rPr>
            </w:pPr>
            <w:r>
              <w:rPr>
                <w:rFonts w:eastAsia="Times New Roman"/>
                <w:b/>
                <w:lang w:eastAsia="fr-BE"/>
              </w:rPr>
              <w:lastRenderedPageBreak/>
              <w:t>3</w:t>
            </w:r>
            <w:r w:rsidRPr="00060CD1">
              <w:rPr>
                <w:rFonts w:eastAsia="Times New Roman"/>
                <w:b/>
                <w:lang w:eastAsia="fr-BE"/>
              </w:rPr>
              <w:t xml:space="preserve">. </w:t>
            </w:r>
            <w:r>
              <w:rPr>
                <w:rFonts w:eastAsia="Times New Roman"/>
                <w:b/>
                <w:lang w:eastAsia="fr-BE"/>
              </w:rPr>
              <w:t>Rotation (art. 22, § 3 de la loi du 7 décembre 2016)</w:t>
            </w:r>
          </w:p>
        </w:tc>
      </w:tr>
      <w:tr w:rsidR="00804BA8" w14:paraId="423024B9" w14:textId="77777777" w:rsidTr="00804BA8">
        <w:tc>
          <w:tcPr>
            <w:tcW w:w="6793" w:type="dxa"/>
            <w:gridSpan w:val="2"/>
            <w:tcBorders>
              <w:top w:val="single" w:sz="4" w:space="0" w:color="auto"/>
              <w:left w:val="single" w:sz="2" w:space="0" w:color="000000"/>
              <w:bottom w:val="single" w:sz="4" w:space="0" w:color="auto"/>
              <w:right w:val="single" w:sz="4" w:space="0" w:color="auto"/>
            </w:tcBorders>
            <w:hideMark/>
          </w:tcPr>
          <w:p w14:paraId="32C6FBD3" w14:textId="77777777" w:rsidR="00804BA8" w:rsidRDefault="00804BA8">
            <w:pPr>
              <w:tabs>
                <w:tab w:val="left" w:pos="555"/>
              </w:tabs>
              <w:spacing w:line="240" w:lineRule="auto"/>
              <w:ind w:left="555" w:right="193" w:hanging="425"/>
              <w:jc w:val="both"/>
              <w:rPr>
                <w:rFonts w:eastAsia="Times New Roman"/>
                <w:lang w:eastAsia="fr-BE"/>
              </w:rPr>
            </w:pPr>
            <w:r>
              <w:rPr>
                <w:rFonts w:eastAsia="Times New Roman"/>
                <w:lang w:eastAsia="fr-BE"/>
              </w:rPr>
              <w:t xml:space="preserve">3.1. </w:t>
            </w:r>
            <w:r>
              <w:t>Dans</w:t>
            </w:r>
            <w:r>
              <w:rPr>
                <w:rFonts w:eastAsia="Times New Roman"/>
                <w:lang w:eastAsia="fr-BE"/>
              </w:rPr>
              <w:t xml:space="preserve"> le cas d’un contrôle légal auprès d’une entité d’intérêt public ou auprès des filiales importantes belges ou étrangères d’une telle entité de droit belge lorsque celle-ci établit des comptes consolidés, le commissaire a-t-il remplacé au minimum le ou les représentants permanents du cabinet de révision ou, en cas de mandat exercé par un commissaire personne physique, a-t-il transféré le mandat à un confrère dans les six ans qui suivent sa ou leur nomination ? </w:t>
            </w:r>
          </w:p>
          <w:p w14:paraId="16B79104" w14:textId="77777777" w:rsidR="00804BA8" w:rsidRDefault="00804BA8">
            <w:pPr>
              <w:tabs>
                <w:tab w:val="left" w:pos="555"/>
              </w:tabs>
              <w:spacing w:line="240" w:lineRule="auto"/>
              <w:ind w:left="555" w:right="193" w:hanging="425"/>
              <w:jc w:val="both"/>
            </w:pPr>
            <w:r>
              <w:t>3.2. Dans le même contexte, l'interdiction pour le ou les réviseurs d'entreprises remplacés de participer à nouveau au contrôle légal de l'entité contrôlée avant une période d'au moins trois ans a-t-elle été respectée ?</w:t>
            </w:r>
          </w:p>
          <w:p w14:paraId="1B43053F" w14:textId="77777777" w:rsidR="00804BA8" w:rsidRDefault="00804BA8">
            <w:pPr>
              <w:tabs>
                <w:tab w:val="left" w:pos="555"/>
              </w:tabs>
              <w:spacing w:line="240" w:lineRule="auto"/>
              <w:ind w:left="555" w:right="193" w:hanging="425"/>
              <w:jc w:val="both"/>
              <w:rPr>
                <w:rFonts w:eastAsia="Times New Roman" w:cs="Times New Roman"/>
                <w:sz w:val="24"/>
                <w:lang w:eastAsia="fr-BE"/>
              </w:rPr>
            </w:pPr>
            <w:r>
              <w:t>3.3 L'interdiction d'exercer des missions révisorales lorsque le réviseur se trouve dans l'une des situations suivantes: fonction d'employé, activité commerciale directe ou indirecte, fonction de ministre ou de secrétaire d'Etat a-t-elle été respectée ?</w:t>
            </w:r>
          </w:p>
        </w:tc>
        <w:tc>
          <w:tcPr>
            <w:tcW w:w="851" w:type="dxa"/>
            <w:gridSpan w:val="2"/>
            <w:tcBorders>
              <w:top w:val="single" w:sz="4" w:space="0" w:color="auto"/>
              <w:left w:val="single" w:sz="4" w:space="0" w:color="auto"/>
              <w:bottom w:val="single" w:sz="4" w:space="0" w:color="auto"/>
              <w:right w:val="single" w:sz="4" w:space="0" w:color="auto"/>
            </w:tcBorders>
            <w:hideMark/>
          </w:tcPr>
          <w:p w14:paraId="752CFD9A" w14:textId="77777777" w:rsidR="00804BA8" w:rsidRDefault="00804BA8">
            <w:pPr>
              <w:spacing w:before="120" w:after="120" w:line="240" w:lineRule="auto"/>
              <w:ind w:left="113" w:right="113"/>
              <w:jc w:val="center"/>
              <w:rPr>
                <w:rFonts w:eastAsia="Times New Roman" w:cs="Times New Roman"/>
                <w:sz w:val="24"/>
                <w:highlight w:val="yellow"/>
                <w:lang w:eastAsia="fr-BE"/>
              </w:rPr>
            </w:pPr>
            <w:r>
              <w:rPr>
                <w:rFonts w:eastAsia="Times New Roman"/>
                <w:noProof/>
                <w:highlight w:val="yellow"/>
                <w:lang w:eastAsia="fr-BE"/>
              </w:rPr>
              <w:fldChar w:fldCharType="begin">
                <w:ffData>
                  <w:name w:val=""/>
                  <w:enabled/>
                  <w:calcOnExit w:val="0"/>
                  <w:textInput>
                    <w:maxLength w:val="3"/>
                  </w:textInput>
                </w:ffData>
              </w:fldChar>
            </w:r>
            <w:r>
              <w:rPr>
                <w:rFonts w:eastAsia="Times New Roman"/>
                <w:noProof/>
                <w:highlight w:val="yellow"/>
                <w:lang w:eastAsia="fr-BE"/>
              </w:rPr>
              <w:instrText xml:space="preserve"> FORMTEXT </w:instrText>
            </w:r>
            <w:r>
              <w:rPr>
                <w:rFonts w:eastAsia="Times New Roman"/>
                <w:noProof/>
                <w:highlight w:val="yellow"/>
                <w:lang w:eastAsia="fr-BE"/>
              </w:rPr>
            </w:r>
            <w:r>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fldChar w:fldCharType="end"/>
            </w:r>
          </w:p>
        </w:tc>
        <w:tc>
          <w:tcPr>
            <w:tcW w:w="850" w:type="dxa"/>
            <w:gridSpan w:val="2"/>
            <w:tcBorders>
              <w:top w:val="single" w:sz="4" w:space="0" w:color="auto"/>
              <w:left w:val="single" w:sz="4" w:space="0" w:color="auto"/>
              <w:bottom w:val="single" w:sz="4" w:space="0" w:color="auto"/>
              <w:right w:val="single" w:sz="4" w:space="0" w:color="auto"/>
            </w:tcBorders>
            <w:hideMark/>
          </w:tcPr>
          <w:p w14:paraId="5A09F43B" w14:textId="77777777" w:rsidR="00804BA8" w:rsidRDefault="00804BA8">
            <w:pPr>
              <w:spacing w:before="120" w:after="120" w:line="240" w:lineRule="auto"/>
              <w:ind w:left="113" w:right="113"/>
              <w:jc w:val="both"/>
              <w:rPr>
                <w:rFonts w:eastAsia="Times New Roman" w:cs="Times New Roman"/>
                <w:sz w:val="24"/>
                <w:highlight w:val="yellow"/>
                <w:lang w:eastAsia="fr-BE"/>
              </w:rPr>
            </w:pPr>
            <w:r>
              <w:rPr>
                <w:rFonts w:eastAsia="Times New Roman"/>
                <w:noProof/>
                <w:highlight w:val="yellow"/>
                <w:lang w:eastAsia="fr-BE"/>
              </w:rPr>
              <w:fldChar w:fldCharType="begin">
                <w:ffData>
                  <w:name w:val=""/>
                  <w:enabled/>
                  <w:calcOnExit w:val="0"/>
                  <w:textInput>
                    <w:maxLength w:val="3"/>
                  </w:textInput>
                </w:ffData>
              </w:fldChar>
            </w:r>
            <w:r>
              <w:rPr>
                <w:rFonts w:eastAsia="Times New Roman"/>
                <w:noProof/>
                <w:highlight w:val="yellow"/>
                <w:lang w:eastAsia="fr-BE"/>
              </w:rPr>
              <w:instrText xml:space="preserve"> FORMTEXT </w:instrText>
            </w:r>
            <w:r>
              <w:rPr>
                <w:rFonts w:eastAsia="Times New Roman"/>
                <w:noProof/>
                <w:highlight w:val="yellow"/>
                <w:lang w:eastAsia="fr-BE"/>
              </w:rPr>
            </w:r>
            <w:r>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fldChar w:fldCharType="end"/>
            </w:r>
          </w:p>
        </w:tc>
        <w:tc>
          <w:tcPr>
            <w:tcW w:w="1135" w:type="dxa"/>
            <w:tcBorders>
              <w:top w:val="single" w:sz="4" w:space="0" w:color="auto"/>
              <w:left w:val="single" w:sz="4" w:space="0" w:color="auto"/>
              <w:bottom w:val="single" w:sz="4" w:space="0" w:color="auto"/>
              <w:right w:val="single" w:sz="4" w:space="0" w:color="auto"/>
            </w:tcBorders>
            <w:hideMark/>
          </w:tcPr>
          <w:p w14:paraId="4AEB5BDE" w14:textId="77777777" w:rsidR="00804BA8" w:rsidRDefault="00804BA8">
            <w:pPr>
              <w:spacing w:before="120" w:after="120" w:line="240" w:lineRule="auto"/>
              <w:ind w:left="113" w:right="113"/>
              <w:jc w:val="both"/>
              <w:rPr>
                <w:rFonts w:eastAsia="Times New Roman" w:cs="Times New Roman"/>
                <w:sz w:val="24"/>
                <w:highlight w:val="yellow"/>
                <w:lang w:eastAsia="fr-BE"/>
              </w:rPr>
            </w:pPr>
            <w:r>
              <w:rPr>
                <w:rFonts w:eastAsia="Times New Roman" w:cs="Times New Roman"/>
                <w:sz w:val="24"/>
                <w:highlight w:val="yellow"/>
                <w:lang w:eastAsia="fr-BE"/>
              </w:rPr>
              <w:fldChar w:fldCharType="begin">
                <w:ffData>
                  <w:name w:val="Texte118"/>
                  <w:enabled/>
                  <w:calcOnExit w:val="0"/>
                  <w:textInput/>
                </w:ffData>
              </w:fldChar>
            </w:r>
            <w:r>
              <w:rPr>
                <w:rFonts w:eastAsia="Times New Roman" w:cs="Times New Roman"/>
                <w:sz w:val="24"/>
                <w:highlight w:val="yellow"/>
                <w:lang w:eastAsia="fr-BE"/>
              </w:rPr>
              <w:instrText xml:space="preserve"> FORMTEXT </w:instrText>
            </w:r>
            <w:r>
              <w:rPr>
                <w:rFonts w:eastAsia="Times New Roman" w:cs="Times New Roman"/>
                <w:sz w:val="24"/>
                <w:highlight w:val="yellow"/>
                <w:lang w:eastAsia="fr-BE"/>
              </w:rPr>
            </w:r>
            <w:r>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sz w:val="24"/>
                <w:highlight w:val="yellow"/>
                <w:lang w:eastAsia="fr-BE"/>
              </w:rPr>
              <w:fldChar w:fldCharType="end"/>
            </w:r>
          </w:p>
        </w:tc>
      </w:tr>
      <w:tr w:rsidR="00030C87" w:rsidRPr="007038E4" w14:paraId="1D1ADE35" w14:textId="77777777" w:rsidTr="00804BA8">
        <w:tc>
          <w:tcPr>
            <w:tcW w:w="6780" w:type="dxa"/>
            <w:tcBorders>
              <w:top w:val="single" w:sz="4" w:space="0" w:color="auto"/>
              <w:left w:val="single" w:sz="2" w:space="0" w:color="000000"/>
              <w:bottom w:val="single" w:sz="4" w:space="0" w:color="auto"/>
              <w:right w:val="single" w:sz="4" w:space="0" w:color="auto"/>
            </w:tcBorders>
            <w:shd w:val="clear" w:color="auto" w:fill="auto"/>
          </w:tcPr>
          <w:p w14:paraId="7E63EAE5" w14:textId="77777777" w:rsidR="00030C87" w:rsidRDefault="00030C87" w:rsidP="00DB5079">
            <w:pPr>
              <w:spacing w:before="120" w:after="120" w:line="240" w:lineRule="auto"/>
              <w:ind w:left="113" w:right="193"/>
              <w:jc w:val="both"/>
              <w:rPr>
                <w:rFonts w:eastAsia="Times New Roman"/>
                <w:lang w:eastAsia="fr-BE"/>
              </w:rPr>
            </w:pPr>
            <w:r>
              <w:rPr>
                <w:rFonts w:eastAsia="Times New Roman"/>
                <w:lang w:eastAsia="fr-BE"/>
              </w:rPr>
              <w:t xml:space="preserve">3.1. </w:t>
            </w:r>
            <w:r w:rsidRPr="00A75552">
              <w:rPr>
                <w:rFonts w:eastAsia="Times New Roman"/>
                <w:lang w:eastAsia="fr-BE"/>
              </w:rPr>
              <w:t>Dans le cas d’un contrôle légal auprès d’une entité d’intérêt</w:t>
            </w:r>
            <w:r>
              <w:rPr>
                <w:rFonts w:eastAsia="Times New Roman"/>
                <w:lang w:eastAsia="fr-BE"/>
              </w:rPr>
              <w:t xml:space="preserve"> </w:t>
            </w:r>
            <w:r w:rsidRPr="00A75552">
              <w:rPr>
                <w:rFonts w:eastAsia="Times New Roman"/>
                <w:lang w:eastAsia="fr-BE"/>
              </w:rPr>
              <w:t>public ou auprès des filiales importantes belges ou étrangères d’une</w:t>
            </w:r>
            <w:r>
              <w:rPr>
                <w:rFonts w:eastAsia="Times New Roman"/>
                <w:lang w:eastAsia="fr-BE"/>
              </w:rPr>
              <w:t xml:space="preserve"> </w:t>
            </w:r>
            <w:r w:rsidRPr="00A75552">
              <w:rPr>
                <w:rFonts w:eastAsia="Times New Roman"/>
                <w:lang w:eastAsia="fr-BE"/>
              </w:rPr>
              <w:t>telle entité de droit belge lorsque celle-ci établit des comptes consolidés,</w:t>
            </w:r>
            <w:r>
              <w:rPr>
                <w:rFonts w:eastAsia="Times New Roman"/>
                <w:lang w:eastAsia="fr-BE"/>
              </w:rPr>
              <w:t xml:space="preserve"> </w:t>
            </w:r>
            <w:r w:rsidRPr="00A75552">
              <w:rPr>
                <w:rFonts w:eastAsia="Times New Roman"/>
                <w:lang w:eastAsia="fr-BE"/>
              </w:rPr>
              <w:t xml:space="preserve">le commissaire </w:t>
            </w:r>
            <w:r>
              <w:rPr>
                <w:rFonts w:eastAsia="Times New Roman"/>
                <w:lang w:eastAsia="fr-BE"/>
              </w:rPr>
              <w:t>a-t-il remplacé</w:t>
            </w:r>
            <w:r w:rsidRPr="00A75552">
              <w:rPr>
                <w:rFonts w:eastAsia="Times New Roman"/>
                <w:lang w:eastAsia="fr-BE"/>
              </w:rPr>
              <w:t xml:space="preserve"> au minimum le ou les représentants</w:t>
            </w:r>
            <w:r>
              <w:rPr>
                <w:rFonts w:eastAsia="Times New Roman"/>
                <w:lang w:eastAsia="fr-BE"/>
              </w:rPr>
              <w:t xml:space="preserve"> </w:t>
            </w:r>
            <w:r w:rsidRPr="00A75552">
              <w:rPr>
                <w:rFonts w:eastAsia="Times New Roman"/>
                <w:lang w:eastAsia="fr-BE"/>
              </w:rPr>
              <w:t>permanents du cabinet de révision ou, en cas de mandat exercé</w:t>
            </w:r>
            <w:r>
              <w:rPr>
                <w:rFonts w:eastAsia="Times New Roman"/>
                <w:lang w:eastAsia="fr-BE"/>
              </w:rPr>
              <w:t xml:space="preserve"> </w:t>
            </w:r>
            <w:r w:rsidRPr="00A75552">
              <w:rPr>
                <w:rFonts w:eastAsia="Times New Roman"/>
                <w:lang w:eastAsia="fr-BE"/>
              </w:rPr>
              <w:t xml:space="preserve">par un commissaire personne physique, </w:t>
            </w:r>
            <w:r>
              <w:rPr>
                <w:rFonts w:eastAsia="Times New Roman"/>
                <w:lang w:eastAsia="fr-BE"/>
              </w:rPr>
              <w:t>a-t-il transféré</w:t>
            </w:r>
            <w:r w:rsidRPr="00A75552">
              <w:rPr>
                <w:rFonts w:eastAsia="Times New Roman"/>
                <w:lang w:eastAsia="fr-BE"/>
              </w:rPr>
              <w:t xml:space="preserve"> le mandat à un</w:t>
            </w:r>
            <w:r>
              <w:rPr>
                <w:rFonts w:eastAsia="Times New Roman"/>
                <w:lang w:eastAsia="fr-BE"/>
              </w:rPr>
              <w:t xml:space="preserve"> </w:t>
            </w:r>
            <w:r w:rsidRPr="00A75552">
              <w:rPr>
                <w:rFonts w:eastAsia="Times New Roman"/>
                <w:lang w:eastAsia="fr-BE"/>
              </w:rPr>
              <w:t>confrère dans les six ans qui suivent sa ou leur nomination</w:t>
            </w:r>
            <w:r>
              <w:rPr>
                <w:rFonts w:eastAsia="Times New Roman"/>
                <w:lang w:eastAsia="fr-BE"/>
              </w:rPr>
              <w:t> ?</w:t>
            </w:r>
            <w:r w:rsidRPr="00A75552">
              <w:rPr>
                <w:rFonts w:eastAsia="Times New Roman"/>
                <w:lang w:eastAsia="fr-BE"/>
              </w:rPr>
              <w:t xml:space="preserve"> </w:t>
            </w:r>
          </w:p>
          <w:p w14:paraId="5A3761C7" w14:textId="77777777" w:rsidR="00030C87" w:rsidRPr="007038E4" w:rsidRDefault="00030C87" w:rsidP="00DB5079">
            <w:pPr>
              <w:spacing w:before="120" w:after="120" w:line="240" w:lineRule="auto"/>
              <w:ind w:left="113" w:right="193"/>
              <w:jc w:val="both"/>
              <w:rPr>
                <w:rFonts w:eastAsia="Times New Roman" w:cs="Times New Roman"/>
                <w:sz w:val="24"/>
                <w:lang w:eastAsia="fr-BE"/>
              </w:rPr>
            </w:pPr>
            <w:r w:rsidRPr="00A75552">
              <w:rPr>
                <w:rFonts w:eastAsia="Times New Roman"/>
                <w:lang w:eastAsia="fr-BE"/>
              </w:rPr>
              <w:t>Le ou les</w:t>
            </w:r>
            <w:r>
              <w:rPr>
                <w:rFonts w:eastAsia="Times New Roman"/>
                <w:lang w:eastAsia="fr-BE"/>
              </w:rPr>
              <w:t xml:space="preserve"> </w:t>
            </w:r>
            <w:r w:rsidRPr="00A75552">
              <w:rPr>
                <w:rFonts w:eastAsia="Times New Roman"/>
                <w:lang w:eastAsia="fr-BE"/>
              </w:rPr>
              <w:t>réviseurs d’entreprises remplacés ne peuvent participer à nouveau au</w:t>
            </w:r>
            <w:r>
              <w:rPr>
                <w:rFonts w:eastAsia="Times New Roman"/>
                <w:lang w:eastAsia="fr-BE"/>
              </w:rPr>
              <w:t xml:space="preserve"> </w:t>
            </w:r>
            <w:r w:rsidRPr="00A75552">
              <w:rPr>
                <w:rFonts w:eastAsia="Times New Roman"/>
                <w:lang w:eastAsia="fr-BE"/>
              </w:rPr>
              <w:t>contrôle légal de l’entité contrôlée qu’à l’issue d’une période d’au</w:t>
            </w:r>
            <w:r>
              <w:rPr>
                <w:rFonts w:eastAsia="Times New Roman"/>
                <w:lang w:eastAsia="fr-BE"/>
              </w:rPr>
              <w:t xml:space="preserve"> </w:t>
            </w:r>
            <w:r w:rsidRPr="00A75552">
              <w:rPr>
                <w:rFonts w:eastAsia="Times New Roman"/>
                <w:lang w:eastAsia="fr-BE"/>
              </w:rPr>
              <w:t>moins trois ans.</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14:paraId="19AF029C"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4" w:space="0" w:color="auto"/>
              <w:left w:val="single" w:sz="4" w:space="0" w:color="auto"/>
              <w:bottom w:val="single" w:sz="4" w:space="0" w:color="auto"/>
              <w:right w:val="single" w:sz="4" w:space="0" w:color="auto"/>
            </w:tcBorders>
          </w:tcPr>
          <w:p w14:paraId="6A03E30D"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tcPr>
          <w:p w14:paraId="322A5565"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566B9DAC" w14:textId="77777777" w:rsidTr="00804BA8">
        <w:tc>
          <w:tcPr>
            <w:tcW w:w="9629" w:type="dxa"/>
            <w:gridSpan w:val="7"/>
            <w:tcBorders>
              <w:top w:val="single" w:sz="2" w:space="0" w:color="000000"/>
              <w:left w:val="single" w:sz="2" w:space="0" w:color="000000"/>
              <w:bottom w:val="single" w:sz="4" w:space="0" w:color="auto"/>
              <w:right w:val="single" w:sz="4" w:space="0" w:color="auto"/>
            </w:tcBorders>
          </w:tcPr>
          <w:p w14:paraId="2ACB5AEA" w14:textId="40557A5E" w:rsidR="00030C87" w:rsidRPr="00060CD1" w:rsidRDefault="00030C87" w:rsidP="00DB5079">
            <w:pPr>
              <w:spacing w:before="240" w:line="240" w:lineRule="auto"/>
              <w:ind w:left="107" w:right="193"/>
              <w:rPr>
                <w:rFonts w:eastAsia="Times New Roman"/>
                <w:b/>
                <w:lang w:eastAsia="fr-BE"/>
              </w:rPr>
            </w:pPr>
            <w:r>
              <w:rPr>
                <w:rFonts w:eastAsia="Times New Roman"/>
                <w:b/>
                <w:lang w:eastAsia="fr-BE"/>
              </w:rPr>
              <w:t>4</w:t>
            </w:r>
            <w:r w:rsidRPr="00060CD1">
              <w:rPr>
                <w:rFonts w:eastAsia="Times New Roman"/>
                <w:b/>
                <w:lang w:eastAsia="fr-BE"/>
              </w:rPr>
              <w:t>. Aspects</w:t>
            </w:r>
            <w:r w:rsidRPr="00060CD1">
              <w:rPr>
                <w:b/>
              </w:rPr>
              <w:t xml:space="preserve"> généraux</w:t>
            </w:r>
          </w:p>
        </w:tc>
      </w:tr>
      <w:tr w:rsidR="00030C87" w:rsidRPr="007038E4" w14:paraId="230C750D" w14:textId="77777777" w:rsidTr="00804BA8">
        <w:tc>
          <w:tcPr>
            <w:tcW w:w="9629" w:type="dxa"/>
            <w:gridSpan w:val="7"/>
            <w:tcBorders>
              <w:top w:val="single" w:sz="2" w:space="0" w:color="000000"/>
              <w:left w:val="single" w:sz="2" w:space="0" w:color="000000"/>
              <w:bottom w:val="single" w:sz="4" w:space="0" w:color="auto"/>
              <w:right w:val="single" w:sz="4" w:space="0" w:color="auto"/>
            </w:tcBorders>
          </w:tcPr>
          <w:p w14:paraId="798CA114" w14:textId="2A44491B" w:rsidR="00030C87" w:rsidRPr="00830044" w:rsidRDefault="00030C87" w:rsidP="00DB5079">
            <w:pPr>
              <w:spacing w:before="120" w:after="120" w:line="240" w:lineRule="auto"/>
              <w:ind w:left="107" w:right="193"/>
              <w:jc w:val="both"/>
              <w:rPr>
                <w:rFonts w:cs="Times New Roman"/>
                <w:sz w:val="24"/>
              </w:rPr>
            </w:pPr>
            <w:r>
              <w:rPr>
                <w:rFonts w:eastAsia="Times New Roman"/>
                <w:lang w:eastAsia="fr-BE"/>
              </w:rPr>
              <w:t>4</w:t>
            </w:r>
            <w:r w:rsidRPr="00060CD1">
              <w:rPr>
                <w:rFonts w:eastAsia="Times New Roman"/>
                <w:lang w:eastAsia="fr-BE"/>
              </w:rPr>
              <w:t>.</w:t>
            </w:r>
            <w:r>
              <w:t xml:space="preserve">1. </w:t>
            </w:r>
            <w:r w:rsidRPr="00060CD1">
              <w:rPr>
                <w:rFonts w:eastAsia="Times New Roman"/>
                <w:lang w:eastAsia="fr-BE"/>
              </w:rPr>
              <w:t>Concertation</w:t>
            </w:r>
            <w:r w:rsidRPr="00830044">
              <w:t xml:space="preserve"> avec la personne chargée de la revue de contrôle qualité de la mission (EQCR)</w:t>
            </w:r>
          </w:p>
        </w:tc>
      </w:tr>
      <w:tr w:rsidR="00030C87" w:rsidRPr="007038E4" w14:paraId="0D57705D" w14:textId="77777777" w:rsidTr="00804BA8">
        <w:tc>
          <w:tcPr>
            <w:tcW w:w="6780" w:type="dxa"/>
            <w:tcBorders>
              <w:top w:val="single" w:sz="4" w:space="0" w:color="auto"/>
              <w:left w:val="single" w:sz="2" w:space="0" w:color="000000"/>
              <w:bottom w:val="single" w:sz="4" w:space="0" w:color="auto"/>
              <w:right w:val="single" w:sz="4" w:space="0" w:color="auto"/>
            </w:tcBorders>
            <w:shd w:val="clear" w:color="auto" w:fill="auto"/>
          </w:tcPr>
          <w:p w14:paraId="2FF34612" w14:textId="77777777" w:rsidR="00030C87" w:rsidRPr="007038E4" w:rsidRDefault="00030C87" w:rsidP="00DB5079">
            <w:pPr>
              <w:spacing w:before="120" w:after="120" w:line="240" w:lineRule="auto"/>
              <w:ind w:left="113" w:right="193"/>
              <w:jc w:val="both"/>
              <w:rPr>
                <w:rFonts w:eastAsia="Times New Roman" w:cs="Times New Roman"/>
                <w:sz w:val="24"/>
                <w:lang w:eastAsia="fr-BE"/>
              </w:rPr>
            </w:pPr>
            <w:r w:rsidRPr="007038E4">
              <w:rPr>
                <w:rFonts w:eastAsia="Times New Roman"/>
                <w:lang w:eastAsia="fr-BE"/>
              </w:rPr>
              <w:t>Dans l’hypothèse où un risque important d’indépendance est soulevé par un des points évoqués ci-dessus, il conviendra de prendre contact avec la personne chargée de la revue de contrôle qualité de la mission (EQCR). Cela a-t-il été fait ?</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14:paraId="22D3EBEB"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4" w:space="0" w:color="auto"/>
              <w:left w:val="single" w:sz="4" w:space="0" w:color="auto"/>
              <w:bottom w:val="single" w:sz="4" w:space="0" w:color="auto"/>
              <w:right w:val="single" w:sz="4" w:space="0" w:color="auto"/>
            </w:tcBorders>
          </w:tcPr>
          <w:p w14:paraId="370E65DF"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tcPr>
          <w:p w14:paraId="3E66EB23"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30C87" w:rsidRPr="007038E4" w14:paraId="014F8BDE" w14:textId="77777777" w:rsidTr="00804BA8">
        <w:tc>
          <w:tcPr>
            <w:tcW w:w="9629" w:type="dxa"/>
            <w:gridSpan w:val="7"/>
            <w:tcBorders>
              <w:top w:val="single" w:sz="2" w:space="0" w:color="000000"/>
              <w:left w:val="single" w:sz="2" w:space="0" w:color="000000"/>
              <w:bottom w:val="single" w:sz="4" w:space="0" w:color="auto"/>
              <w:right w:val="single" w:sz="4" w:space="0" w:color="auto"/>
            </w:tcBorders>
          </w:tcPr>
          <w:p w14:paraId="6E7E60AC" w14:textId="18B56C4C" w:rsidR="00030C87" w:rsidRPr="00830044" w:rsidRDefault="00030C87" w:rsidP="00DB5079">
            <w:pPr>
              <w:spacing w:before="120" w:after="120" w:line="240" w:lineRule="auto"/>
              <w:ind w:left="107" w:right="193"/>
              <w:jc w:val="both"/>
              <w:rPr>
                <w:rFonts w:cs="Times New Roman"/>
                <w:sz w:val="24"/>
              </w:rPr>
            </w:pPr>
            <w:r>
              <w:rPr>
                <w:rFonts w:eastAsia="Times New Roman"/>
                <w:lang w:eastAsia="fr-BE"/>
              </w:rPr>
              <w:t>4</w:t>
            </w:r>
            <w:r w:rsidRPr="00060CD1">
              <w:rPr>
                <w:rFonts w:eastAsia="Times New Roman"/>
                <w:lang w:eastAsia="fr-BE"/>
              </w:rPr>
              <w:t>.</w:t>
            </w:r>
            <w:r>
              <w:t xml:space="preserve">2. </w:t>
            </w:r>
            <w:r w:rsidRPr="0039342E">
              <w:t xml:space="preserve">Consignation des risques importants d’atteinte à l’indépendance du réviseur d’entreprises (art. 12 §5 de la </w:t>
            </w:r>
            <w:r w:rsidRPr="00060CD1">
              <w:rPr>
                <w:rFonts w:eastAsia="Times New Roman"/>
                <w:lang w:eastAsia="fr-BE"/>
              </w:rPr>
              <w:t>loi</w:t>
            </w:r>
            <w:r w:rsidRPr="00830044">
              <w:t xml:space="preserve"> du 7 décembre 2016)</w:t>
            </w:r>
          </w:p>
        </w:tc>
      </w:tr>
      <w:tr w:rsidR="00030C87" w:rsidRPr="007038E4" w14:paraId="3DD71614" w14:textId="77777777" w:rsidTr="00804BA8">
        <w:tc>
          <w:tcPr>
            <w:tcW w:w="6780" w:type="dxa"/>
            <w:tcBorders>
              <w:top w:val="single" w:sz="4" w:space="0" w:color="auto"/>
              <w:left w:val="single" w:sz="2" w:space="0" w:color="000000"/>
              <w:bottom w:val="single" w:sz="4" w:space="0" w:color="auto"/>
              <w:right w:val="single" w:sz="4" w:space="0" w:color="auto"/>
            </w:tcBorders>
            <w:shd w:val="clear" w:color="auto" w:fill="auto"/>
          </w:tcPr>
          <w:p w14:paraId="63B56DFB" w14:textId="77777777" w:rsidR="00030C87" w:rsidRPr="007038E4" w:rsidRDefault="00030C87" w:rsidP="00DB5079">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Le réviseur d’entreprises a-t-il consigné dans </w:t>
            </w:r>
            <w:r w:rsidRPr="00060CD1">
              <w:rPr>
                <w:rFonts w:eastAsia="Times New Roman" w:cs="Times New Roman"/>
                <w:lang w:eastAsia="nl-NL"/>
              </w:rPr>
              <w:t>ses documents de travail tous les risques importants d’atteinte à son indépendance ainsi que les mesures de sauvegarde appliquées pour limiter ces risques ?</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14:paraId="42492813" w14:textId="77777777" w:rsidR="00030C87" w:rsidRPr="00060CD1" w:rsidRDefault="00030C87" w:rsidP="00DB5079">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gridSpan w:val="2"/>
            <w:tcBorders>
              <w:top w:val="single" w:sz="4" w:space="0" w:color="auto"/>
              <w:left w:val="single" w:sz="4" w:space="0" w:color="auto"/>
              <w:bottom w:val="single" w:sz="4" w:space="0" w:color="auto"/>
              <w:right w:val="single" w:sz="4" w:space="0" w:color="auto"/>
            </w:tcBorders>
          </w:tcPr>
          <w:p w14:paraId="0B9349CE" w14:textId="77777777" w:rsidR="00030C87" w:rsidRPr="00060CD1" w:rsidRDefault="00030C87" w:rsidP="00DB5079">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tcPr>
          <w:p w14:paraId="2C8322B4" w14:textId="77777777" w:rsidR="00030C87" w:rsidRPr="00312461" w:rsidRDefault="00030C87"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bl>
    <w:p w14:paraId="26D606AC" w14:textId="77777777" w:rsidR="000B511B" w:rsidRPr="007038E4" w:rsidRDefault="000B511B" w:rsidP="000B511B">
      <w:pPr>
        <w:spacing w:after="120" w:line="240" w:lineRule="auto"/>
        <w:jc w:val="both"/>
        <w:rPr>
          <w:rFonts w:eastAsia="Times New Roman" w:cs="Times New Roman"/>
          <w:lang w:eastAsia="fr-BE"/>
        </w:rPr>
      </w:pPr>
    </w:p>
    <w:p w14:paraId="7BCAAA6E" w14:textId="77777777" w:rsidR="000B511B" w:rsidRPr="007038E4" w:rsidRDefault="000B511B" w:rsidP="000B511B">
      <w:pPr>
        <w:spacing w:after="120" w:line="240" w:lineRule="auto"/>
        <w:jc w:val="both"/>
        <w:rPr>
          <w:rFonts w:eastAsia="Times New Roman" w:cs="Times New Roman"/>
          <w:lang w:eastAsia="fr-BE"/>
        </w:rPr>
      </w:pPr>
      <w:r w:rsidRPr="007038E4">
        <w:rPr>
          <w:rFonts w:eastAsia="Times New Roman" w:cs="Times New Roman"/>
          <w:lang w:eastAsia="fr-BE"/>
        </w:rPr>
        <w:t xml:space="preserve">Conclusion : </w:t>
      </w:r>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8F935C6" w14:textId="77777777" w:rsidR="000B511B" w:rsidRDefault="000B511B" w:rsidP="000B511B">
      <w:pPr>
        <w:spacing w:after="120" w:line="240" w:lineRule="auto"/>
        <w:jc w:val="both"/>
        <w:rPr>
          <w:rFonts w:eastAsia="Times New Roman" w:cs="Times New Roman"/>
          <w:lang w:eastAsia="fr-BE"/>
        </w:rPr>
      </w:pPr>
    </w:p>
    <w:p w14:paraId="7B90B17C" w14:textId="77777777" w:rsidR="000B511B" w:rsidRDefault="000B511B" w:rsidP="000B511B">
      <w:pPr>
        <w:spacing w:after="120" w:line="240" w:lineRule="auto"/>
        <w:jc w:val="both"/>
        <w:rPr>
          <w:rFonts w:eastAsia="Times New Roman" w:cs="Times New Roman"/>
          <w:lang w:eastAsia="fr-BE"/>
        </w:rPr>
      </w:pPr>
      <w:r>
        <w:rPr>
          <w:rFonts w:eastAsia="Times New Roman" w:cs="Times New Roman"/>
          <w:lang w:eastAsia="fr-BE"/>
        </w:rPr>
        <w:t xml:space="preserve">En signant le présent document, l’associé confirme le respect des règles d’indépendance requises avant la mission ou durant celle-ci, selon le cas. </w:t>
      </w:r>
    </w:p>
    <w:p w14:paraId="78F5E9F7" w14:textId="77777777" w:rsidR="000B511B" w:rsidRPr="007038E4" w:rsidRDefault="000B511B" w:rsidP="000B511B">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0B511B" w:rsidRPr="007038E4" w14:paraId="245854A3" w14:textId="77777777" w:rsidTr="00475E8B">
        <w:tc>
          <w:tcPr>
            <w:tcW w:w="3223" w:type="dxa"/>
            <w:shd w:val="clear" w:color="auto" w:fill="auto"/>
          </w:tcPr>
          <w:p w14:paraId="0D1D95C1" w14:textId="77777777" w:rsidR="000B511B" w:rsidRPr="007038E4" w:rsidRDefault="000B511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Fonction</w:t>
            </w:r>
          </w:p>
        </w:tc>
        <w:tc>
          <w:tcPr>
            <w:tcW w:w="2546" w:type="dxa"/>
            <w:shd w:val="clear" w:color="auto" w:fill="auto"/>
          </w:tcPr>
          <w:p w14:paraId="4306CBAE" w14:textId="77777777" w:rsidR="000B511B" w:rsidRPr="007038E4" w:rsidRDefault="000B511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Nom</w:t>
            </w:r>
          </w:p>
        </w:tc>
        <w:tc>
          <w:tcPr>
            <w:tcW w:w="1366" w:type="dxa"/>
            <w:shd w:val="clear" w:color="auto" w:fill="auto"/>
          </w:tcPr>
          <w:p w14:paraId="76C09F62" w14:textId="77777777" w:rsidR="000B511B" w:rsidRPr="007038E4" w:rsidRDefault="000B511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Date</w:t>
            </w:r>
          </w:p>
        </w:tc>
        <w:tc>
          <w:tcPr>
            <w:tcW w:w="2108" w:type="dxa"/>
            <w:shd w:val="clear" w:color="auto" w:fill="auto"/>
          </w:tcPr>
          <w:p w14:paraId="56AF7640" w14:textId="77777777" w:rsidR="000B511B" w:rsidRPr="007038E4" w:rsidRDefault="000B511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Signature</w:t>
            </w:r>
          </w:p>
        </w:tc>
      </w:tr>
      <w:tr w:rsidR="000B511B" w:rsidRPr="007038E4" w14:paraId="51A9D244" w14:textId="77777777" w:rsidTr="00475E8B">
        <w:tc>
          <w:tcPr>
            <w:tcW w:w="3223" w:type="dxa"/>
            <w:shd w:val="clear" w:color="auto" w:fill="auto"/>
          </w:tcPr>
          <w:p w14:paraId="6BB3AD74" w14:textId="77777777" w:rsidR="000B511B" w:rsidRPr="007038E4" w:rsidRDefault="000B511B" w:rsidP="00475E8B">
            <w:pPr>
              <w:spacing w:before="120" w:after="120" w:line="240" w:lineRule="auto"/>
              <w:jc w:val="both"/>
              <w:rPr>
                <w:rFonts w:eastAsia="Times New Roman"/>
                <w:lang w:eastAsia="fr-BE"/>
              </w:rPr>
            </w:pPr>
            <w:r w:rsidRPr="007038E4">
              <w:rPr>
                <w:rFonts w:eastAsia="Times New Roman"/>
                <w:lang w:eastAsia="fr-BE"/>
              </w:rPr>
              <w:lastRenderedPageBreak/>
              <w:t>Associé (ou autre réviseur d’entreprises) responsable de la mission</w:t>
            </w:r>
          </w:p>
        </w:tc>
        <w:tc>
          <w:tcPr>
            <w:tcW w:w="2546" w:type="dxa"/>
            <w:shd w:val="clear" w:color="auto" w:fill="auto"/>
          </w:tcPr>
          <w:p w14:paraId="67123CD7"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41B4EE21"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552042A7"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0B511B" w:rsidRPr="007038E4" w14:paraId="0CC4618B" w14:textId="77777777" w:rsidTr="00475E8B">
        <w:tc>
          <w:tcPr>
            <w:tcW w:w="3223" w:type="dxa"/>
            <w:shd w:val="clear" w:color="auto" w:fill="auto"/>
          </w:tcPr>
          <w:p w14:paraId="7AF44D1F" w14:textId="77777777" w:rsidR="000B511B" w:rsidRPr="007038E4" w:rsidRDefault="000B511B" w:rsidP="00475E8B">
            <w:pPr>
              <w:spacing w:before="120" w:after="120" w:line="240" w:lineRule="auto"/>
              <w:jc w:val="both"/>
              <w:rPr>
                <w:rFonts w:eastAsia="Times New Roman"/>
                <w:lang w:eastAsia="fr-BE"/>
              </w:rPr>
            </w:pPr>
            <w:r w:rsidRPr="007038E4">
              <w:rPr>
                <w:rFonts w:eastAsia="Times New Roman"/>
                <w:lang w:eastAsia="fr-BE"/>
              </w:rPr>
              <w:t>[Le cas échéant :] Associé (ou autre réviseur d’entreprises) chargé de la revue de contrôle qualité de la mission (EQCR)</w:t>
            </w:r>
          </w:p>
        </w:tc>
        <w:tc>
          <w:tcPr>
            <w:tcW w:w="2546" w:type="dxa"/>
            <w:shd w:val="clear" w:color="auto" w:fill="auto"/>
          </w:tcPr>
          <w:p w14:paraId="093F96FA"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678F99E8"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0B10561E" w14:textId="77777777" w:rsidR="000B511B" w:rsidRPr="00312461" w:rsidRDefault="000B511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64DEBE27" w14:textId="77777777" w:rsidR="000B511B" w:rsidRPr="007038E4" w:rsidRDefault="000B511B" w:rsidP="000B511B">
      <w:pPr>
        <w:spacing w:line="240" w:lineRule="auto"/>
        <w:rPr>
          <w:i/>
          <w:iCs/>
          <w:lang w:eastAsia="fr-BE"/>
        </w:rPr>
      </w:pPr>
    </w:p>
    <w:p w14:paraId="5031C1E6" w14:textId="77777777" w:rsidR="000B511B" w:rsidRPr="007038E4" w:rsidRDefault="000B511B" w:rsidP="000B511B">
      <w:pPr>
        <w:spacing w:line="240" w:lineRule="auto"/>
        <w:rPr>
          <w:i/>
          <w:iCs/>
          <w:lang w:eastAsia="fr-BE"/>
        </w:rPr>
      </w:pPr>
      <w:r w:rsidRPr="007038E4">
        <w:rPr>
          <w:i/>
          <w:iCs/>
          <w:lang w:eastAsia="fr-BE"/>
        </w:rPr>
        <w:t xml:space="preserve">Source (à </w:t>
      </w:r>
      <w:r w:rsidRPr="00991668">
        <w:rPr>
          <w:i/>
          <w:lang w:eastAsia="nl-BE"/>
        </w:rPr>
        <w:t>mentionner lors de toute utilisation à une autre fin que celle d’un réviseur d’entreprises dans l’exercice de sa mission)</w:t>
      </w:r>
      <w:r w:rsidRPr="007038E4">
        <w:rPr>
          <w:i/>
          <w:iCs/>
          <w:lang w:eastAsia="fr-BE"/>
        </w:rPr>
        <w:t> : Centre d’information du révisorat d’entreprises (ICCI)</w:t>
      </w:r>
    </w:p>
    <w:p w14:paraId="1FE86554" w14:textId="77777777" w:rsidR="000B511B" w:rsidRPr="007038E4" w:rsidRDefault="000B511B" w:rsidP="000B511B">
      <w:pPr>
        <w:rPr>
          <w:rFonts w:asciiTheme="minorHAnsi" w:hAnsiTheme="minorHAnsi" w:cstheme="minorBidi"/>
          <w:sz w:val="22"/>
          <w:szCs w:val="22"/>
        </w:rPr>
      </w:pPr>
    </w:p>
    <w:sectPr w:rsidR="000B511B" w:rsidRPr="007038E4" w:rsidSect="00C70898">
      <w:headerReference w:type="default" r:id="rId8"/>
      <w:footerReference w:type="default" r:id="rId9"/>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4495" w14:textId="77777777" w:rsidR="008F20D7" w:rsidRDefault="00C70898">
      <w:pPr>
        <w:spacing w:after="0" w:line="240" w:lineRule="auto"/>
      </w:pPr>
      <w:r>
        <w:separator/>
      </w:r>
    </w:p>
  </w:endnote>
  <w:endnote w:type="continuationSeparator" w:id="0">
    <w:p w14:paraId="22BA28A3" w14:textId="77777777" w:rsidR="008F20D7" w:rsidRDefault="00C7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AC90" w14:textId="167BDCED" w:rsidR="00C70898" w:rsidRPr="00C70898" w:rsidRDefault="00990533" w:rsidP="00C70898">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030C87">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BC239E">
      <w:rPr>
        <w:rFonts w:ascii="Calibri" w:eastAsia="Calibri" w:hAnsi="Calibri" w:cs="Times New Roman"/>
        <w:sz w:val="22"/>
        <w:szCs w:val="22"/>
        <w:lang w:val="nl-BE"/>
      </w:rPr>
      <w:t>20</w:t>
    </w:r>
    <w:r>
      <w:rPr>
        <w:rFonts w:ascii="Calibri" w:eastAsia="Calibri" w:hAnsi="Calibri" w:cs="Times New Roman"/>
        <w:sz w:val="22"/>
        <w:szCs w:val="22"/>
        <w:lang w:val="nl-BE"/>
      </w:rPr>
      <w:t>.11</w:t>
    </w:r>
    <w:r w:rsidR="00C70898" w:rsidRPr="00C70898">
      <w:rPr>
        <w:rFonts w:ascii="Calibri" w:eastAsia="Calibri" w:hAnsi="Calibri" w:cs="Times New Roman"/>
        <w:sz w:val="22"/>
        <w:szCs w:val="22"/>
        <w:lang w:val="nl-BE"/>
      </w:rPr>
      <w:t>.201</w:t>
    </w:r>
    <w:r w:rsidR="00030C87">
      <w:rPr>
        <w:rFonts w:ascii="Calibri" w:eastAsia="Calibri" w:hAnsi="Calibri" w:cs="Times New Roman"/>
        <w:sz w:val="22"/>
        <w:szCs w:val="22"/>
        <w:lang w:val="nl-BE"/>
      </w:rPr>
      <w:t>9</w:t>
    </w:r>
    <w:r w:rsidR="00C70898" w:rsidRPr="00C70898">
      <w:rPr>
        <w:rFonts w:ascii="Calibri" w:eastAsia="Calibri" w:hAnsi="Calibri" w:cs="Times New Roman"/>
        <w:sz w:val="22"/>
        <w:szCs w:val="22"/>
        <w:lang w:val="nl-BE"/>
      </w:rPr>
      <w:tab/>
    </w:r>
    <w:r w:rsidR="00C70898" w:rsidRPr="00C70898">
      <w:rPr>
        <w:rFonts w:ascii="Calibri" w:eastAsia="Calibri" w:hAnsi="Calibri" w:cs="Times New Roman"/>
        <w:sz w:val="22"/>
        <w:szCs w:val="22"/>
        <w:lang w:val="nl-BE"/>
      </w:rPr>
      <w:tab/>
    </w:r>
    <w:r w:rsidR="00C70898" w:rsidRPr="00C70898">
      <w:rPr>
        <w:rFonts w:ascii="Calibri" w:eastAsia="Calibri" w:hAnsi="Calibri" w:cs="Times New Roman"/>
        <w:sz w:val="22"/>
        <w:szCs w:val="22"/>
        <w:lang w:val="fr-FR"/>
      </w:rPr>
      <w:t xml:space="preserve">Page </w:t>
    </w:r>
    <w:r w:rsidR="00C70898" w:rsidRPr="00C70898">
      <w:rPr>
        <w:rFonts w:ascii="Calibri" w:eastAsia="Calibri" w:hAnsi="Calibri" w:cs="Times New Roman"/>
        <w:b/>
        <w:bCs/>
        <w:sz w:val="22"/>
        <w:szCs w:val="22"/>
        <w:lang w:val="nl-BE"/>
      </w:rPr>
      <w:fldChar w:fldCharType="begin"/>
    </w:r>
    <w:r w:rsidR="00C70898" w:rsidRPr="00C70898">
      <w:rPr>
        <w:rFonts w:ascii="Calibri" w:eastAsia="Calibri" w:hAnsi="Calibri" w:cs="Times New Roman"/>
        <w:b/>
        <w:bCs/>
        <w:sz w:val="22"/>
        <w:szCs w:val="22"/>
        <w:lang w:val="nl-BE"/>
      </w:rPr>
      <w:instrText>PAGE  \* Arabic  \* MERGEFORMAT</w:instrText>
    </w:r>
    <w:r w:rsidR="00C70898" w:rsidRPr="00C70898">
      <w:rPr>
        <w:rFonts w:ascii="Calibri" w:eastAsia="Calibri" w:hAnsi="Calibri" w:cs="Times New Roman"/>
        <w:b/>
        <w:bCs/>
        <w:sz w:val="22"/>
        <w:szCs w:val="22"/>
        <w:lang w:val="nl-BE"/>
      </w:rPr>
      <w:fldChar w:fldCharType="separate"/>
    </w:r>
    <w:r w:rsidR="00C70898" w:rsidRPr="00C70898">
      <w:rPr>
        <w:rFonts w:ascii="Calibri" w:eastAsia="Calibri" w:hAnsi="Calibri" w:cs="Times New Roman"/>
        <w:b/>
        <w:bCs/>
        <w:sz w:val="22"/>
        <w:szCs w:val="22"/>
        <w:lang w:val="nl-BE"/>
      </w:rPr>
      <w:t>245</w:t>
    </w:r>
    <w:r w:rsidR="00C70898" w:rsidRPr="00C70898">
      <w:rPr>
        <w:rFonts w:ascii="Calibri" w:eastAsia="Calibri" w:hAnsi="Calibri" w:cs="Times New Roman"/>
        <w:b/>
        <w:bCs/>
        <w:sz w:val="22"/>
        <w:szCs w:val="22"/>
        <w:lang w:val="nl-BE"/>
      </w:rPr>
      <w:fldChar w:fldCharType="end"/>
    </w:r>
    <w:r w:rsidR="00C70898" w:rsidRPr="00C70898">
      <w:rPr>
        <w:rFonts w:ascii="Calibri" w:eastAsia="Calibri" w:hAnsi="Calibri" w:cs="Times New Roman"/>
        <w:sz w:val="22"/>
        <w:szCs w:val="22"/>
        <w:lang w:val="fr-FR"/>
      </w:rPr>
      <w:t xml:space="preserve"> sur </w:t>
    </w:r>
    <w:r w:rsidR="00C70898" w:rsidRPr="00C70898">
      <w:rPr>
        <w:rFonts w:ascii="Calibri" w:eastAsia="Calibri" w:hAnsi="Calibri" w:cs="Times New Roman"/>
        <w:b/>
        <w:bCs/>
        <w:sz w:val="22"/>
        <w:szCs w:val="22"/>
        <w:lang w:val="nl-BE"/>
      </w:rPr>
      <w:fldChar w:fldCharType="begin"/>
    </w:r>
    <w:r w:rsidR="00C70898" w:rsidRPr="00C70898">
      <w:rPr>
        <w:rFonts w:ascii="Calibri" w:eastAsia="Calibri" w:hAnsi="Calibri" w:cs="Times New Roman"/>
        <w:b/>
        <w:bCs/>
        <w:sz w:val="22"/>
        <w:szCs w:val="22"/>
        <w:lang w:val="nl-BE"/>
      </w:rPr>
      <w:instrText>NUMPAGES  \* Arabic  \* MERGEFORMAT</w:instrText>
    </w:r>
    <w:r w:rsidR="00C70898" w:rsidRPr="00C70898">
      <w:rPr>
        <w:rFonts w:ascii="Calibri" w:eastAsia="Calibri" w:hAnsi="Calibri" w:cs="Times New Roman"/>
        <w:b/>
        <w:bCs/>
        <w:sz w:val="22"/>
        <w:szCs w:val="22"/>
        <w:lang w:val="nl-BE"/>
      </w:rPr>
      <w:fldChar w:fldCharType="separate"/>
    </w:r>
    <w:r w:rsidR="00C70898" w:rsidRPr="00C70898">
      <w:rPr>
        <w:rFonts w:ascii="Calibri" w:eastAsia="Calibri" w:hAnsi="Calibri" w:cs="Times New Roman"/>
        <w:b/>
        <w:bCs/>
        <w:sz w:val="22"/>
        <w:szCs w:val="22"/>
        <w:lang w:val="nl-BE"/>
      </w:rPr>
      <w:t>316</w:t>
    </w:r>
    <w:r w:rsidR="00C70898" w:rsidRPr="00C70898">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3932" w14:textId="77777777" w:rsidR="008F20D7" w:rsidRDefault="00C70898">
      <w:pPr>
        <w:spacing w:after="0" w:line="240" w:lineRule="auto"/>
      </w:pPr>
      <w:r>
        <w:separator/>
      </w:r>
    </w:p>
  </w:footnote>
  <w:footnote w:type="continuationSeparator" w:id="0">
    <w:p w14:paraId="7E59659C" w14:textId="77777777" w:rsidR="008F20D7" w:rsidRDefault="00C70898">
      <w:pPr>
        <w:spacing w:after="0" w:line="240" w:lineRule="auto"/>
      </w:pPr>
      <w:r>
        <w:continuationSeparator/>
      </w:r>
    </w:p>
  </w:footnote>
  <w:footnote w:id="1">
    <w:p w14:paraId="7AE19AA0" w14:textId="5948E471" w:rsidR="00804BA8" w:rsidRDefault="00804BA8">
      <w:pPr>
        <w:pStyle w:val="Voetnoottekst"/>
      </w:pPr>
      <w:r>
        <w:rPr>
          <w:rStyle w:val="Voetnootmarkering"/>
        </w:rPr>
        <w:footnoteRef/>
      </w:r>
      <w:r>
        <w:t xml:space="preserve"> A cond</w:t>
      </w:r>
      <w:bookmarkStart w:id="2" w:name="_GoBack"/>
      <w:bookmarkEnd w:id="2"/>
      <w:r>
        <w:t>ition que l’EIP émette des comptes consolidés.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F9D8" w14:textId="35CC0F36" w:rsidR="00CE1000" w:rsidRPr="00C70898" w:rsidRDefault="000B511B" w:rsidP="00C77668">
    <w:pPr>
      <w:pStyle w:val="Koptekst"/>
      <w:rPr>
        <w:rFonts w:asciiTheme="minorHAnsi" w:hAnsiTheme="minorHAnsi" w:cstheme="minorHAnsi"/>
      </w:rPr>
    </w:pPr>
    <w:r>
      <w:tab/>
    </w:r>
    <w:r w:rsidRPr="00C70898">
      <w:rPr>
        <w:rFonts w:asciiTheme="minorHAnsi" w:hAnsiTheme="minorHAnsi" w:cstheme="minorHAnsi"/>
      </w:rPr>
      <w:tab/>
      <w:t xml:space="preserve"> </w:t>
    </w:r>
    <w:r w:rsidRPr="00C70898">
      <w:rPr>
        <w:rFonts w:asciiTheme="minorHAnsi" w:eastAsiaTheme="majorEastAsia" w:hAnsiTheme="minorHAnsi" w:cstheme="minorHAnsi"/>
        <w:lang w:val="fr-FR"/>
      </w:rPr>
      <w:fldChar w:fldCharType="begin"/>
    </w:r>
    <w:r w:rsidRPr="00C70898">
      <w:rPr>
        <w:rFonts w:asciiTheme="minorHAnsi" w:eastAsiaTheme="majorEastAsia" w:hAnsiTheme="minorHAnsi" w:cstheme="minorHAnsi"/>
        <w:lang w:val="fr-FR"/>
      </w:rPr>
      <w:instrText xml:space="preserve"> REF LogoCabinetFr  \* MERGEFORMAT </w:instrText>
    </w:r>
    <w:r w:rsidRPr="00C70898">
      <w:rPr>
        <w:rFonts w:asciiTheme="minorHAnsi" w:eastAsiaTheme="majorEastAsia" w:hAnsiTheme="minorHAnsi" w:cstheme="minorHAnsi"/>
        <w:lang w:val="fr-FR"/>
      </w:rPr>
      <w:fldChar w:fldCharType="separate"/>
    </w:r>
    <w:r w:rsidRPr="00C70898">
      <w:rPr>
        <w:rFonts w:asciiTheme="minorHAnsi" w:eastAsiaTheme="majorEastAsia" w:hAnsiTheme="minorHAnsi" w:cstheme="minorHAnsi"/>
        <w:lang w:val="fr-FR"/>
      </w:rPr>
      <w:t> Insérer</w:t>
    </w:r>
    <w:r w:rsidRPr="00C70898">
      <w:rPr>
        <w:rFonts w:asciiTheme="minorHAnsi" w:hAnsiTheme="minorHAnsi" w:cstheme="minorHAnsi"/>
        <w:lang w:val="fr-FR" w:eastAsia="nl-NL"/>
      </w:rPr>
      <w:t xml:space="preserve"> ici le logo de</w:t>
    </w:r>
    <w:r w:rsidRPr="00C70898">
      <w:rPr>
        <w:rFonts w:asciiTheme="minorHAnsi" w:eastAsiaTheme="majorEastAsia" w:hAnsiTheme="minorHAnsi" w:cstheme="minorHAnsi"/>
        <w:lang w:val="fr-FR"/>
      </w:rPr>
      <w:t xml:space="preserve"> </w:t>
    </w:r>
    <w:r w:rsidR="00C70898" w:rsidRPr="00C70898">
      <w:rPr>
        <w:rFonts w:asciiTheme="minorHAnsi" w:hAnsiTheme="minorHAnsi" w:cstheme="minorHAnsi"/>
        <w:lang w:val="fr-FR" w:eastAsia="nl-NL"/>
      </w:rPr>
      <w:t xml:space="preserve">votre Cabinet </w:t>
    </w:r>
    <w:r w:rsidRPr="00C70898">
      <w:rPr>
        <w:rFonts w:asciiTheme="minorHAnsi" w:hAnsiTheme="minorHAnsi" w:cstheme="minorHAnsi"/>
        <w:lang w:eastAsia="nl-NL"/>
      </w:rPr>
      <w:fldChar w:fldCharType="end"/>
    </w:r>
    <w:r w:rsidRPr="00C70898">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311"/>
    <w:multiLevelType w:val="hybridMultilevel"/>
    <w:tmpl w:val="E822DFD6"/>
    <w:lvl w:ilvl="0" w:tplc="080C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 w15:restartNumberingAfterBreak="0">
    <w:nsid w:val="26F94B9E"/>
    <w:multiLevelType w:val="hybridMultilevel"/>
    <w:tmpl w:val="75CCA5F0"/>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3B51F5"/>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1B"/>
    <w:rsid w:val="00030C87"/>
    <w:rsid w:val="00056AF1"/>
    <w:rsid w:val="00073884"/>
    <w:rsid w:val="000A0B38"/>
    <w:rsid w:val="000B511B"/>
    <w:rsid w:val="000D1BE9"/>
    <w:rsid w:val="00115D7F"/>
    <w:rsid w:val="00136D43"/>
    <w:rsid w:val="0014238F"/>
    <w:rsid w:val="00187478"/>
    <w:rsid w:val="001A2732"/>
    <w:rsid w:val="001D64E3"/>
    <w:rsid w:val="00217153"/>
    <w:rsid w:val="00225ADA"/>
    <w:rsid w:val="00250436"/>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04BA8"/>
    <w:rsid w:val="008172A8"/>
    <w:rsid w:val="008A0DF7"/>
    <w:rsid w:val="008B18CA"/>
    <w:rsid w:val="008C0C03"/>
    <w:rsid w:val="008F20D7"/>
    <w:rsid w:val="008F4974"/>
    <w:rsid w:val="008F587A"/>
    <w:rsid w:val="009062BA"/>
    <w:rsid w:val="00910F53"/>
    <w:rsid w:val="00966E0A"/>
    <w:rsid w:val="00990533"/>
    <w:rsid w:val="009B5280"/>
    <w:rsid w:val="00A06D0A"/>
    <w:rsid w:val="00A34152"/>
    <w:rsid w:val="00A87190"/>
    <w:rsid w:val="00A92BFC"/>
    <w:rsid w:val="00AE147F"/>
    <w:rsid w:val="00B06211"/>
    <w:rsid w:val="00B53C3C"/>
    <w:rsid w:val="00BC239E"/>
    <w:rsid w:val="00BE3183"/>
    <w:rsid w:val="00BE3EA3"/>
    <w:rsid w:val="00C060EE"/>
    <w:rsid w:val="00C4217F"/>
    <w:rsid w:val="00C70898"/>
    <w:rsid w:val="00CA4DEE"/>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DA5C"/>
  <w15:chartTrackingRefBased/>
  <w15:docId w15:val="{DAF4B221-EBD3-4127-8672-3C3DBBB6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511B"/>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0B511B"/>
    <w:pPr>
      <w:pageBreakBefore/>
      <w:spacing w:after="120"/>
      <w:outlineLvl w:val="1"/>
    </w:pPr>
    <w:rPr>
      <w:b/>
      <w:sz w:val="44"/>
      <w:szCs w:val="44"/>
    </w:rPr>
  </w:style>
  <w:style w:type="paragraph" w:styleId="Kop4">
    <w:name w:val="heading 4"/>
    <w:basedOn w:val="Standaard"/>
    <w:next w:val="Standaard"/>
    <w:link w:val="Kop4Char"/>
    <w:unhideWhenUsed/>
    <w:qFormat/>
    <w:rsid w:val="000B511B"/>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B511B"/>
    <w:rPr>
      <w:rFonts w:ascii="Arial" w:hAnsi="Arial" w:cs="Arial"/>
      <w:b/>
      <w:sz w:val="44"/>
      <w:szCs w:val="44"/>
    </w:rPr>
  </w:style>
  <w:style w:type="character" w:customStyle="1" w:styleId="Kop4Char">
    <w:name w:val="Kop 4 Char"/>
    <w:basedOn w:val="Standaardalinea-lettertype"/>
    <w:link w:val="Kop4"/>
    <w:rsid w:val="000B511B"/>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0B511B"/>
    <w:pPr>
      <w:tabs>
        <w:tab w:val="center" w:pos="4513"/>
        <w:tab w:val="right" w:pos="9026"/>
      </w:tabs>
      <w:spacing w:after="0" w:line="240" w:lineRule="auto"/>
    </w:pPr>
  </w:style>
  <w:style w:type="character" w:customStyle="1" w:styleId="KoptekstChar">
    <w:name w:val="Koptekst Char"/>
    <w:basedOn w:val="Standaardalinea-lettertype"/>
    <w:link w:val="Koptekst"/>
    <w:rsid w:val="000B511B"/>
    <w:rPr>
      <w:rFonts w:ascii="Arial" w:hAnsi="Arial" w:cs="Arial"/>
      <w:sz w:val="20"/>
      <w:szCs w:val="20"/>
    </w:rPr>
  </w:style>
  <w:style w:type="paragraph" w:styleId="Lijstalinea">
    <w:name w:val="List Paragraph"/>
    <w:basedOn w:val="Standaard"/>
    <w:link w:val="LijstalineaChar"/>
    <w:uiPriority w:val="34"/>
    <w:qFormat/>
    <w:rsid w:val="000B511B"/>
    <w:pPr>
      <w:keepLines/>
      <w:numPr>
        <w:numId w:val="1"/>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0B511B"/>
    <w:rPr>
      <w:rFonts w:ascii="Arial" w:eastAsia="Times New Roman" w:hAnsi="Arial" w:cs="Arial"/>
      <w:sz w:val="20"/>
      <w:szCs w:val="20"/>
      <w:lang w:val="fr-FR" w:eastAsia="fr-BE"/>
    </w:rPr>
  </w:style>
  <w:style w:type="paragraph" w:styleId="Geenafstand">
    <w:name w:val="No Spacing"/>
    <w:uiPriority w:val="1"/>
    <w:qFormat/>
    <w:rsid w:val="000B511B"/>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C708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70898"/>
    <w:rPr>
      <w:rFonts w:ascii="Arial" w:hAnsi="Arial" w:cs="Arial"/>
      <w:sz w:val="20"/>
      <w:szCs w:val="20"/>
    </w:rPr>
  </w:style>
  <w:style w:type="paragraph" w:styleId="Voetnoottekst">
    <w:name w:val="footnote text"/>
    <w:basedOn w:val="Standaard"/>
    <w:link w:val="VoetnoottekstChar"/>
    <w:uiPriority w:val="99"/>
    <w:semiHidden/>
    <w:unhideWhenUsed/>
    <w:rsid w:val="00804BA8"/>
    <w:pPr>
      <w:spacing w:after="0" w:line="240" w:lineRule="auto"/>
    </w:pPr>
  </w:style>
  <w:style w:type="character" w:customStyle="1" w:styleId="VoetnoottekstChar">
    <w:name w:val="Voetnoottekst Char"/>
    <w:basedOn w:val="Standaardalinea-lettertype"/>
    <w:link w:val="Voetnoottekst"/>
    <w:uiPriority w:val="99"/>
    <w:semiHidden/>
    <w:rsid w:val="00804BA8"/>
    <w:rPr>
      <w:rFonts w:ascii="Arial" w:hAnsi="Arial" w:cs="Arial"/>
      <w:sz w:val="20"/>
      <w:szCs w:val="20"/>
    </w:rPr>
  </w:style>
  <w:style w:type="character" w:styleId="Voetnootmarkering">
    <w:name w:val="footnote reference"/>
    <w:basedOn w:val="Standaardalinea-lettertype"/>
    <w:uiPriority w:val="99"/>
    <w:semiHidden/>
    <w:unhideWhenUsed/>
    <w:rsid w:val="00804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68161">
      <w:bodyDiv w:val="1"/>
      <w:marLeft w:val="0"/>
      <w:marRight w:val="0"/>
      <w:marTop w:val="0"/>
      <w:marBottom w:val="0"/>
      <w:divBdr>
        <w:top w:val="none" w:sz="0" w:space="0" w:color="auto"/>
        <w:left w:val="none" w:sz="0" w:space="0" w:color="auto"/>
        <w:bottom w:val="none" w:sz="0" w:space="0" w:color="auto"/>
        <w:right w:val="none" w:sz="0" w:space="0" w:color="auto"/>
      </w:divBdr>
    </w:div>
    <w:div w:id="833421377">
      <w:bodyDiv w:val="1"/>
      <w:marLeft w:val="0"/>
      <w:marRight w:val="0"/>
      <w:marTop w:val="0"/>
      <w:marBottom w:val="0"/>
      <w:divBdr>
        <w:top w:val="none" w:sz="0" w:space="0" w:color="auto"/>
        <w:left w:val="none" w:sz="0" w:space="0" w:color="auto"/>
        <w:bottom w:val="none" w:sz="0" w:space="0" w:color="auto"/>
        <w:right w:val="none" w:sz="0" w:space="0" w:color="auto"/>
      </w:divBdr>
    </w:div>
    <w:div w:id="9434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761B9-218C-40C4-AD19-D2844E022E08}">
  <ds:schemaRefs>
    <ds:schemaRef ds:uri="http://schemas.openxmlformats.org/officeDocument/2006/bibliography"/>
  </ds:schemaRefs>
</ds:datastoreItem>
</file>

<file path=customXml/itemProps2.xml><?xml version="1.0" encoding="utf-8"?>
<ds:datastoreItem xmlns:ds="http://schemas.openxmlformats.org/officeDocument/2006/customXml" ds:itemID="{9E1276DF-25C7-4657-8BDF-12D42A2624A7}"/>
</file>

<file path=customXml/itemProps3.xml><?xml version="1.0" encoding="utf-8"?>
<ds:datastoreItem xmlns:ds="http://schemas.openxmlformats.org/officeDocument/2006/customXml" ds:itemID="{380825E4-E9A9-4127-9D7F-9EF008B79E69}"/>
</file>

<file path=customXml/itemProps4.xml><?xml version="1.0" encoding="utf-8"?>
<ds:datastoreItem xmlns:ds="http://schemas.openxmlformats.org/officeDocument/2006/customXml" ds:itemID="{8A19DBCB-BE4B-47A4-8217-9D723A48E466}"/>
</file>

<file path=customXml/itemProps5.xml><?xml version="1.0" encoding="utf-8"?>
<ds:datastoreItem xmlns:ds="http://schemas.openxmlformats.org/officeDocument/2006/customXml" ds:itemID="{B43D5C2A-F068-482D-A139-2FCC3AAF7356}"/>
</file>

<file path=docProps/app.xml><?xml version="1.0" encoding="utf-8"?>
<Properties xmlns="http://schemas.openxmlformats.org/officeDocument/2006/extended-properties" xmlns:vt="http://schemas.openxmlformats.org/officeDocument/2006/docPropsVTypes">
  <Template>Normal</Template>
  <TotalTime>8</TotalTime>
  <Pages>4</Pages>
  <Words>1398</Words>
  <Characters>7692</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8</cp:revision>
  <dcterms:created xsi:type="dcterms:W3CDTF">2018-10-11T11:59:00Z</dcterms:created>
  <dcterms:modified xsi:type="dcterms:W3CDTF">2019-11-21T08:47:00Z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