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0F02" w14:textId="23AD431E" w:rsidR="006668D4" w:rsidRPr="00327708" w:rsidRDefault="008C10EA" w:rsidP="00556138">
      <w:pPr>
        <w:pStyle w:val="SR-titredoc"/>
        <w:pBdr>
          <w:top w:val="none" w:sz="0" w:space="0" w:color="auto"/>
          <w:left w:val="none" w:sz="0" w:space="0" w:color="auto"/>
          <w:bottom w:val="none" w:sz="0" w:space="0" w:color="auto"/>
          <w:right w:val="none" w:sz="0" w:space="0" w:color="auto"/>
        </w:pBdr>
        <w:ind w:left="567"/>
        <w:jc w:val="left"/>
        <w:rPr>
          <w:sz w:val="24"/>
          <w:szCs w:val="24"/>
        </w:rPr>
      </w:pPr>
      <w:r w:rsidRPr="00327708">
        <w:rPr>
          <w:sz w:val="24"/>
          <w:szCs w:val="24"/>
        </w:rPr>
        <w:t xml:space="preserve">Rapport de gestion </w:t>
      </w:r>
      <w:r w:rsidR="00070C7F" w:rsidRPr="00327708">
        <w:rPr>
          <w:sz w:val="24"/>
          <w:szCs w:val="24"/>
        </w:rPr>
        <w:t>en application de</w:t>
      </w:r>
      <w:r w:rsidR="002A5F47" w:rsidRPr="00327708">
        <w:rPr>
          <w:sz w:val="24"/>
          <w:szCs w:val="24"/>
        </w:rPr>
        <w:t xml:space="preserve"> l’a</w:t>
      </w:r>
      <w:r w:rsidR="00070C7F" w:rsidRPr="00327708">
        <w:rPr>
          <w:sz w:val="24"/>
          <w:szCs w:val="24"/>
        </w:rPr>
        <w:t>rticle</w:t>
      </w:r>
      <w:r w:rsidR="002A5F47" w:rsidRPr="00327708">
        <w:rPr>
          <w:sz w:val="24"/>
          <w:szCs w:val="24"/>
        </w:rPr>
        <w:t xml:space="preserve"> 3:48</w:t>
      </w:r>
      <w:r w:rsidR="00C2274E" w:rsidRPr="00327708">
        <w:rPr>
          <w:sz w:val="24"/>
          <w:szCs w:val="24"/>
        </w:rPr>
        <w:t xml:space="preserve"> </w:t>
      </w:r>
      <w:r w:rsidR="00024ADF" w:rsidRPr="00327708">
        <w:rPr>
          <w:i/>
          <w:iCs/>
          <w:sz w:val="24"/>
          <w:szCs w:val="24"/>
          <w:highlight w:val="yellow"/>
        </w:rPr>
        <w:t>[3:52</w:t>
      </w:r>
      <w:r w:rsidR="00024ADF" w:rsidRPr="00327708">
        <w:rPr>
          <w:rStyle w:val="FootnoteReference"/>
          <w:i/>
          <w:iCs/>
          <w:sz w:val="24"/>
          <w:szCs w:val="24"/>
          <w:highlight w:val="yellow"/>
        </w:rPr>
        <w:footnoteReference w:id="1"/>
      </w:r>
      <w:r w:rsidR="00024ADF" w:rsidRPr="00327708">
        <w:rPr>
          <w:i/>
          <w:iCs/>
          <w:sz w:val="24"/>
          <w:szCs w:val="24"/>
          <w:highlight w:val="yellow"/>
        </w:rPr>
        <w:t>]</w:t>
      </w:r>
      <w:r w:rsidR="00024ADF" w:rsidRPr="00327708">
        <w:rPr>
          <w:sz w:val="24"/>
          <w:szCs w:val="24"/>
        </w:rPr>
        <w:t xml:space="preserve"> </w:t>
      </w:r>
      <w:r w:rsidR="00C2274E" w:rsidRPr="00327708">
        <w:rPr>
          <w:sz w:val="24"/>
          <w:szCs w:val="24"/>
        </w:rPr>
        <w:t xml:space="preserve">du Code des </w:t>
      </w:r>
      <w:r w:rsidR="002A5F47" w:rsidRPr="00327708">
        <w:rPr>
          <w:sz w:val="24"/>
          <w:szCs w:val="24"/>
        </w:rPr>
        <w:t>S</w:t>
      </w:r>
      <w:r w:rsidR="00C2274E" w:rsidRPr="00327708">
        <w:rPr>
          <w:sz w:val="24"/>
          <w:szCs w:val="24"/>
        </w:rPr>
        <w:t>ociétés</w:t>
      </w:r>
      <w:r w:rsidR="002A5F47" w:rsidRPr="00327708">
        <w:rPr>
          <w:sz w:val="24"/>
          <w:szCs w:val="24"/>
        </w:rPr>
        <w:t xml:space="preserve"> et des Associations</w:t>
      </w:r>
    </w:p>
    <w:p w14:paraId="342E7527" w14:textId="2F39FC03" w:rsidR="006668D4" w:rsidRDefault="00C2274E" w:rsidP="00556138">
      <w:pPr>
        <w:pStyle w:val="SR-Contenutablematire"/>
        <w:ind w:left="567"/>
        <w:rPr>
          <w:rFonts w:cstheme="minorHAnsi"/>
        </w:rPr>
      </w:pPr>
      <w:r>
        <w:rPr>
          <w:rFonts w:cstheme="minorHAnsi"/>
        </w:rPr>
        <w:t xml:space="preserve">L’organe </w:t>
      </w:r>
      <w:r w:rsidR="006E0DCD">
        <w:rPr>
          <w:rFonts w:cstheme="minorHAnsi"/>
        </w:rPr>
        <w:t>d’administration</w:t>
      </w:r>
      <w:r>
        <w:rPr>
          <w:rFonts w:cstheme="minorHAnsi"/>
        </w:rPr>
        <w:t xml:space="preserve"> fait rapport </w:t>
      </w:r>
      <w:r w:rsidR="00F86A70">
        <w:rPr>
          <w:rFonts w:cstheme="minorHAnsi"/>
        </w:rPr>
        <w:t>sur</w:t>
      </w:r>
      <w:r>
        <w:rPr>
          <w:rFonts w:cstheme="minorHAnsi"/>
        </w:rPr>
        <w:t xml:space="preserve"> la gestion </w:t>
      </w:r>
      <w:r w:rsidR="002A5F47">
        <w:rPr>
          <w:rFonts w:cstheme="minorHAnsi"/>
        </w:rPr>
        <w:t>de l’association</w:t>
      </w:r>
      <w:r>
        <w:rPr>
          <w:rFonts w:cstheme="minorHAnsi"/>
        </w:rPr>
        <w:t xml:space="preserve"> pour l’exercice social clôtur</w:t>
      </w:r>
      <w:r w:rsidR="00A17B46">
        <w:rPr>
          <w:rFonts w:cstheme="minorHAnsi"/>
        </w:rPr>
        <w:t>é le</w:t>
      </w:r>
      <w:r>
        <w:rPr>
          <w:rFonts w:cstheme="minorHAnsi"/>
        </w:rPr>
        <w:t xml:space="preserve"> </w:t>
      </w:r>
      <w:r w:rsidR="004F023C" w:rsidRPr="004F023C">
        <w:rPr>
          <w:rFonts w:cstheme="minorHAnsi"/>
          <w:i/>
          <w:iCs/>
        </w:rPr>
        <w:t>[</w:t>
      </w:r>
      <w:r w:rsidR="00461E24" w:rsidRPr="004F023C">
        <w:rPr>
          <w:rFonts w:cstheme="minorHAnsi"/>
          <w:i/>
          <w:iCs/>
        </w:rPr>
        <w:t>xx/xx/</w:t>
      </w:r>
      <w:proofErr w:type="spellStart"/>
      <w:r w:rsidR="00A17B46" w:rsidRPr="004F023C">
        <w:rPr>
          <w:rFonts w:cstheme="minorHAnsi"/>
          <w:i/>
          <w:iCs/>
        </w:rPr>
        <w:t>x</w:t>
      </w:r>
      <w:r w:rsidRPr="004F023C">
        <w:rPr>
          <w:rFonts w:cstheme="minorHAnsi"/>
          <w:i/>
          <w:iCs/>
        </w:rPr>
        <w:t>xxx</w:t>
      </w:r>
      <w:proofErr w:type="spellEnd"/>
      <w:r w:rsidR="004F023C" w:rsidRPr="004F023C">
        <w:rPr>
          <w:rFonts w:cstheme="minorHAnsi"/>
          <w:i/>
          <w:iCs/>
        </w:rPr>
        <w:t>]</w:t>
      </w:r>
      <w:r w:rsidRPr="004F023C">
        <w:rPr>
          <w:rFonts w:cstheme="minorHAnsi"/>
          <w:i/>
          <w:iCs/>
        </w:rPr>
        <w:t>.</w:t>
      </w:r>
    </w:p>
    <w:p w14:paraId="75512033" w14:textId="77777777" w:rsidR="00624ADA" w:rsidRPr="00C82618" w:rsidRDefault="00624ADA" w:rsidP="000872C8">
      <w:pPr>
        <w:pStyle w:val="SR-Contenutablematire"/>
        <w:rPr>
          <w:rFonts w:cstheme="minorHAnsi"/>
        </w:rPr>
      </w:pPr>
    </w:p>
    <w:p w14:paraId="444D343F" w14:textId="77777777" w:rsidR="006668D4" w:rsidRPr="003F75D1" w:rsidRDefault="002A5F47">
      <w:pPr>
        <w:pStyle w:val="SR-Titre1"/>
      </w:pPr>
      <w:r w:rsidRPr="003F75D1">
        <w:t>Exposé fidèle sur l’évolution et les résultats des activités et sur la situation de l’association</w:t>
      </w:r>
    </w:p>
    <w:p w14:paraId="60DA2821" w14:textId="579AF670" w:rsidR="00230708" w:rsidRPr="004F023C" w:rsidRDefault="00230708" w:rsidP="00556138">
      <w:pPr>
        <w:ind w:left="851"/>
        <w:jc w:val="both"/>
      </w:pPr>
      <w:r>
        <w:t xml:space="preserve">Les commentaires suivants de l’organe </w:t>
      </w:r>
      <w:r w:rsidR="006E0DCD">
        <w:t>d’administration</w:t>
      </w:r>
      <w:r>
        <w:t xml:space="preserve"> sur les comptes annuels ont pour objectif de communiquer une image fidèle de la situation de </w:t>
      </w:r>
      <w:r w:rsidR="00461E24">
        <w:t>l’association</w:t>
      </w:r>
      <w:r>
        <w:t xml:space="preserve"> et de ses affaires.</w:t>
      </w:r>
    </w:p>
    <w:p w14:paraId="2C4272A0" w14:textId="23AC9C17" w:rsidR="00C2274E" w:rsidRPr="004F023C" w:rsidRDefault="00C2274E" w:rsidP="00556138">
      <w:pPr>
        <w:ind w:left="851"/>
        <w:jc w:val="both"/>
      </w:pPr>
      <w:r w:rsidRPr="004F023C">
        <w:t>L’exercice se cl</w:t>
      </w:r>
      <w:r w:rsidR="00952CA1" w:rsidRPr="004F023C">
        <w:t>ôture par un</w:t>
      </w:r>
      <w:r w:rsidR="006E0DCD" w:rsidRPr="004F023C">
        <w:t xml:space="preserve"> résultat positif</w:t>
      </w:r>
      <w:r w:rsidR="004F023C" w:rsidRPr="004F023C">
        <w:t xml:space="preserve"> </w:t>
      </w:r>
      <w:r w:rsidR="004F023C" w:rsidRPr="004F023C">
        <w:rPr>
          <w:i/>
          <w:iCs/>
        </w:rPr>
        <w:t>[</w:t>
      </w:r>
      <w:r w:rsidR="006E0DCD" w:rsidRPr="004F023C">
        <w:rPr>
          <w:i/>
          <w:iCs/>
        </w:rPr>
        <w:t>négatif</w:t>
      </w:r>
      <w:r w:rsidR="004F023C" w:rsidRPr="004F023C">
        <w:rPr>
          <w:i/>
          <w:iCs/>
        </w:rPr>
        <w:t>]</w:t>
      </w:r>
      <w:r w:rsidRPr="004F023C">
        <w:rPr>
          <w:i/>
          <w:iCs/>
        </w:rPr>
        <w:t xml:space="preserve"> </w:t>
      </w:r>
      <w:r w:rsidRPr="004F023C">
        <w:t>de</w:t>
      </w:r>
      <w:r w:rsidR="00024ADF" w:rsidRPr="004F023C">
        <w:t xml:space="preserve"> </w:t>
      </w:r>
      <w:r w:rsidR="00024ADF" w:rsidRPr="004F023C">
        <w:rPr>
          <w:i/>
          <w:iCs/>
        </w:rPr>
        <w:t>[___]</w:t>
      </w:r>
      <w:r w:rsidR="00024ADF" w:rsidRPr="004F023C">
        <w:t xml:space="preserve"> </w:t>
      </w:r>
      <w:r w:rsidRPr="004F023C">
        <w:t xml:space="preserve">€. </w:t>
      </w:r>
      <w:r w:rsidR="00461E24" w:rsidRPr="004F023C">
        <w:t xml:space="preserve">L’organe </w:t>
      </w:r>
      <w:r w:rsidR="006E0DCD" w:rsidRPr="004F023C">
        <w:t>d’administration</w:t>
      </w:r>
      <w:r w:rsidRPr="004F023C">
        <w:t xml:space="preserve"> a décidé d’arrêter les comptes annuels dans la forme suivante</w:t>
      </w:r>
      <w:r w:rsidR="00A17B46" w:rsidRPr="004F023C">
        <w:t> :</w:t>
      </w:r>
    </w:p>
    <w:p w14:paraId="0C34288A" w14:textId="6FC480B0" w:rsidR="00C2274E" w:rsidRPr="004F023C" w:rsidRDefault="00DD28A7" w:rsidP="00736FCF">
      <w:pPr>
        <w:pStyle w:val="SR-Titre2"/>
      </w:pPr>
      <w:r w:rsidRPr="004F023C">
        <w:rPr>
          <w:u w:val="none"/>
        </w:rPr>
        <w:t xml:space="preserve">         </w:t>
      </w:r>
      <w:r w:rsidR="00461E24" w:rsidRPr="004F023C">
        <w:t xml:space="preserve">1.1 </w:t>
      </w:r>
      <w:r w:rsidR="00A17B46" w:rsidRPr="004F023C">
        <w:t xml:space="preserve">Au </w:t>
      </w:r>
      <w:r w:rsidR="00C2274E" w:rsidRPr="004F023C">
        <w:t>bilan :</w:t>
      </w:r>
    </w:p>
    <w:p w14:paraId="4803E364" w14:textId="77777777" w:rsidR="00C2274E" w:rsidRPr="004F023C" w:rsidRDefault="00C2274E" w:rsidP="00556138">
      <w:pPr>
        <w:ind w:left="851"/>
        <w:jc w:val="both"/>
      </w:pPr>
      <w:r w:rsidRPr="004F023C">
        <w:t>ACTIF :</w:t>
      </w:r>
    </w:p>
    <w:p w14:paraId="58374214" w14:textId="6089C996" w:rsidR="00C2274E" w:rsidRPr="004F023C" w:rsidRDefault="00C2274E" w:rsidP="00556138">
      <w:pPr>
        <w:ind w:left="851"/>
        <w:jc w:val="both"/>
      </w:pPr>
      <w:r w:rsidRPr="004F023C">
        <w:t xml:space="preserve">Le total de l’actif s’élève à </w:t>
      </w:r>
      <w:r w:rsidR="00024ADF" w:rsidRPr="004F023C">
        <w:rPr>
          <w:i/>
          <w:iCs/>
        </w:rPr>
        <w:t>[</w:t>
      </w:r>
      <w:r w:rsidR="00024ADF" w:rsidRPr="004F023C">
        <w:rPr>
          <w:i/>
          <w:iCs/>
        </w:rPr>
        <w:softHyphen/>
        <w:t>___]</w:t>
      </w:r>
      <w:r w:rsidR="00461E24" w:rsidRPr="004F023C">
        <w:t xml:space="preserve"> </w:t>
      </w:r>
      <w:r w:rsidRPr="004F023C">
        <w:t>€ par rapport à</w:t>
      </w:r>
      <w:r w:rsidR="00024ADF" w:rsidRPr="004F023C">
        <w:t xml:space="preserve"> </w:t>
      </w:r>
      <w:r w:rsidR="00024ADF" w:rsidRPr="004F023C">
        <w:rPr>
          <w:i/>
          <w:iCs/>
        </w:rPr>
        <w:t>[</w:t>
      </w:r>
      <w:r w:rsidR="00024ADF" w:rsidRPr="004F023C">
        <w:rPr>
          <w:i/>
          <w:iCs/>
        </w:rPr>
        <w:softHyphen/>
        <w:t>___]</w:t>
      </w:r>
      <w:r w:rsidRPr="004F023C">
        <w:t xml:space="preserve"> € </w:t>
      </w:r>
      <w:r w:rsidR="00230708" w:rsidRPr="004F023C">
        <w:t>l’année précédente</w:t>
      </w:r>
      <w:r w:rsidRPr="004F023C">
        <w:t xml:space="preserve">. Cela s’explique essentiellement par </w:t>
      </w:r>
      <w:r w:rsidR="00024ADF" w:rsidRPr="004F023C">
        <w:rPr>
          <w:i/>
          <w:iCs/>
        </w:rPr>
        <w:t>[</w:t>
      </w:r>
      <w:r w:rsidR="00024ADF" w:rsidRPr="004F023C">
        <w:rPr>
          <w:i/>
          <w:iCs/>
        </w:rPr>
        <w:softHyphen/>
        <w:t>___].</w:t>
      </w:r>
    </w:p>
    <w:p w14:paraId="5AEECF6F" w14:textId="77777777" w:rsidR="00C2274E" w:rsidRPr="004F023C" w:rsidRDefault="00C2274E" w:rsidP="00556138">
      <w:pPr>
        <w:ind w:left="851"/>
        <w:jc w:val="both"/>
      </w:pPr>
      <w:r w:rsidRPr="004F023C">
        <w:t>PASSIF :</w:t>
      </w:r>
    </w:p>
    <w:p w14:paraId="1698AAD2" w14:textId="4927022C" w:rsidR="00C2274E" w:rsidRPr="004F023C" w:rsidRDefault="00230708" w:rsidP="00556138">
      <w:pPr>
        <w:ind w:left="851"/>
        <w:jc w:val="both"/>
      </w:pPr>
      <w:r w:rsidRPr="004F023C">
        <w:t>Le total du passif s’élève à</w:t>
      </w:r>
      <w:r w:rsidR="00461E24" w:rsidRPr="004F023C">
        <w:t xml:space="preserve"> </w:t>
      </w:r>
      <w:r w:rsidR="00024ADF" w:rsidRPr="004F023C">
        <w:rPr>
          <w:i/>
          <w:iCs/>
        </w:rPr>
        <w:t>[</w:t>
      </w:r>
      <w:r w:rsidR="00024ADF" w:rsidRPr="004F023C">
        <w:rPr>
          <w:i/>
          <w:iCs/>
        </w:rPr>
        <w:softHyphen/>
        <w:t>___]</w:t>
      </w:r>
      <w:r w:rsidR="00024ADF" w:rsidRPr="004F023C">
        <w:t xml:space="preserve"> </w:t>
      </w:r>
      <w:r w:rsidRPr="004F023C">
        <w:t>€ par rapport à</w:t>
      </w:r>
      <w:r w:rsidR="00024ADF" w:rsidRPr="004F023C">
        <w:t xml:space="preserve"> </w:t>
      </w:r>
      <w:r w:rsidR="00024ADF" w:rsidRPr="004F023C">
        <w:rPr>
          <w:i/>
          <w:iCs/>
        </w:rPr>
        <w:t>[</w:t>
      </w:r>
      <w:r w:rsidR="00024ADF" w:rsidRPr="004F023C">
        <w:rPr>
          <w:i/>
          <w:iCs/>
        </w:rPr>
        <w:softHyphen/>
        <w:t>___]</w:t>
      </w:r>
      <w:r w:rsidR="00024ADF" w:rsidRPr="004F023C">
        <w:t xml:space="preserve"> </w:t>
      </w:r>
      <w:r w:rsidRPr="004F023C">
        <w:t xml:space="preserve">€ l’année précédente. Cela s’explique essentiellement par </w:t>
      </w:r>
      <w:r w:rsidR="00024ADF" w:rsidRPr="004F023C">
        <w:rPr>
          <w:i/>
          <w:iCs/>
        </w:rPr>
        <w:t>[</w:t>
      </w:r>
      <w:r w:rsidR="00024ADF" w:rsidRPr="004F023C">
        <w:rPr>
          <w:i/>
          <w:iCs/>
        </w:rPr>
        <w:softHyphen/>
        <w:t>___].</w:t>
      </w:r>
    </w:p>
    <w:p w14:paraId="79DDF76D" w14:textId="21075DD4" w:rsidR="00C2274E" w:rsidRPr="004F023C" w:rsidRDefault="00461E24" w:rsidP="00736FCF">
      <w:pPr>
        <w:pStyle w:val="SR-Titre2"/>
      </w:pPr>
      <w:r w:rsidRPr="004F023C">
        <w:rPr>
          <w:u w:val="none"/>
        </w:rPr>
        <w:t xml:space="preserve">         </w:t>
      </w:r>
      <w:r w:rsidRPr="004F023C">
        <w:t xml:space="preserve">1.2 </w:t>
      </w:r>
      <w:r w:rsidR="00A17B46" w:rsidRPr="004F023C">
        <w:t>A</w:t>
      </w:r>
      <w:r w:rsidR="00C2274E" w:rsidRPr="004F023C">
        <w:t>u compte de résultats :</w:t>
      </w:r>
    </w:p>
    <w:p w14:paraId="536A1931" w14:textId="4A4D8D61" w:rsidR="00C2274E" w:rsidRPr="004F023C" w:rsidRDefault="00C2274E" w:rsidP="00556138">
      <w:pPr>
        <w:ind w:left="851"/>
        <w:jc w:val="both"/>
      </w:pPr>
      <w:r w:rsidRPr="004F023C">
        <w:t>Le</w:t>
      </w:r>
      <w:r w:rsidR="00461E24" w:rsidRPr="004F023C">
        <w:t xml:space="preserve">s </w:t>
      </w:r>
      <w:r w:rsidR="003F66DD">
        <w:t>produits</w:t>
      </w:r>
      <w:r w:rsidR="003F66DD" w:rsidRPr="004F023C">
        <w:t xml:space="preserve"> </w:t>
      </w:r>
      <w:r w:rsidRPr="004F023C">
        <w:t>s’élève</w:t>
      </w:r>
      <w:r w:rsidR="00461E24" w:rsidRPr="004F023C">
        <w:t>nt</w:t>
      </w:r>
      <w:r w:rsidRPr="004F023C">
        <w:t xml:space="preserve"> à</w:t>
      </w:r>
      <w:r w:rsidR="00461E24" w:rsidRPr="004F023C">
        <w:t xml:space="preserve"> </w:t>
      </w:r>
      <w:r w:rsidR="004F023C" w:rsidRPr="004F023C">
        <w:rPr>
          <w:i/>
          <w:iCs/>
        </w:rPr>
        <w:t>[</w:t>
      </w:r>
      <w:r w:rsidR="004F023C" w:rsidRPr="004F023C">
        <w:rPr>
          <w:i/>
          <w:iCs/>
        </w:rPr>
        <w:softHyphen/>
        <w:t>___]</w:t>
      </w:r>
      <w:r w:rsidR="004F023C" w:rsidRPr="004F023C">
        <w:t xml:space="preserve"> </w:t>
      </w:r>
      <w:r w:rsidRPr="004F023C">
        <w:t>€ contre</w:t>
      </w:r>
      <w:r w:rsidR="004F023C" w:rsidRPr="004F023C">
        <w:t xml:space="preserve"> </w:t>
      </w:r>
      <w:r w:rsidR="004F023C" w:rsidRPr="004F023C">
        <w:rPr>
          <w:i/>
          <w:iCs/>
        </w:rPr>
        <w:t>[</w:t>
      </w:r>
      <w:r w:rsidR="004F023C" w:rsidRPr="004F023C">
        <w:rPr>
          <w:i/>
          <w:iCs/>
        </w:rPr>
        <w:softHyphen/>
        <w:t>___]</w:t>
      </w:r>
      <w:r w:rsidR="004F023C" w:rsidRPr="004F023C">
        <w:t xml:space="preserve"> </w:t>
      </w:r>
      <w:r w:rsidRPr="004F023C">
        <w:t xml:space="preserve">€ </w:t>
      </w:r>
      <w:r w:rsidR="00230708" w:rsidRPr="004F023C">
        <w:t>l’année précédente</w:t>
      </w:r>
      <w:r w:rsidRPr="004F023C">
        <w:t>, soit une diminution</w:t>
      </w:r>
      <w:r w:rsidR="004F023C" w:rsidRPr="004F023C">
        <w:t xml:space="preserve"> </w:t>
      </w:r>
      <w:r w:rsidR="004F023C" w:rsidRPr="004F023C">
        <w:rPr>
          <w:i/>
          <w:iCs/>
        </w:rPr>
        <w:t>[augmentation]</w:t>
      </w:r>
      <w:r w:rsidRPr="004F023C">
        <w:t xml:space="preserve"> de</w:t>
      </w:r>
      <w:r w:rsidR="00461E24" w:rsidRPr="004F023C">
        <w:t xml:space="preserve"> </w:t>
      </w:r>
      <w:r w:rsidR="004F023C" w:rsidRPr="004F023C">
        <w:rPr>
          <w:i/>
          <w:iCs/>
        </w:rPr>
        <w:t>[</w:t>
      </w:r>
      <w:r w:rsidR="004F023C" w:rsidRPr="004F023C">
        <w:rPr>
          <w:i/>
          <w:iCs/>
        </w:rPr>
        <w:softHyphen/>
        <w:t>___]</w:t>
      </w:r>
      <w:r w:rsidR="00461E24" w:rsidRPr="004F023C">
        <w:t xml:space="preserve"> </w:t>
      </w:r>
      <w:r w:rsidRPr="004F023C">
        <w:t>%.</w:t>
      </w:r>
    </w:p>
    <w:p w14:paraId="653597EF" w14:textId="1C359C3B" w:rsidR="003F66DD" w:rsidRDefault="003F66DD" w:rsidP="00556138">
      <w:pPr>
        <w:ind w:left="851"/>
        <w:jc w:val="both"/>
      </w:pPr>
      <w:r w:rsidRPr="003F66DD">
        <w:t xml:space="preserve">Les charges s’élèvent à </w:t>
      </w:r>
      <w:r w:rsidRPr="003F66DD">
        <w:rPr>
          <w:i/>
          <w:iCs/>
        </w:rPr>
        <w:t>[___]</w:t>
      </w:r>
      <w:r w:rsidRPr="003F66DD">
        <w:t xml:space="preserve"> € contre </w:t>
      </w:r>
      <w:r w:rsidRPr="003F66DD">
        <w:rPr>
          <w:i/>
          <w:iCs/>
        </w:rPr>
        <w:t>[___]</w:t>
      </w:r>
      <w:r w:rsidRPr="003F66DD">
        <w:t xml:space="preserve"> € l’année précédente, soit une diminution </w:t>
      </w:r>
      <w:r w:rsidRPr="003F66DD">
        <w:rPr>
          <w:i/>
          <w:iCs/>
        </w:rPr>
        <w:t>[augmentation]</w:t>
      </w:r>
      <w:r w:rsidRPr="003F66DD">
        <w:t xml:space="preserve"> de </w:t>
      </w:r>
      <w:r w:rsidRPr="005D660A">
        <w:rPr>
          <w:i/>
        </w:rPr>
        <w:t>[___]</w:t>
      </w:r>
      <w:r w:rsidRPr="003F66DD">
        <w:t xml:space="preserve"> %.</w:t>
      </w:r>
    </w:p>
    <w:p w14:paraId="28554BBD" w14:textId="25CA83F8" w:rsidR="00C2274E" w:rsidRPr="004F023C" w:rsidRDefault="00C2274E" w:rsidP="00556138">
      <w:pPr>
        <w:ind w:left="851"/>
        <w:jc w:val="both"/>
      </w:pPr>
      <w:r w:rsidRPr="004F023C">
        <w:t xml:space="preserve">Le résultat s’élève à </w:t>
      </w:r>
      <w:r w:rsidR="004F023C" w:rsidRPr="004F023C">
        <w:rPr>
          <w:i/>
          <w:iCs/>
        </w:rPr>
        <w:t>[</w:t>
      </w:r>
      <w:r w:rsidR="004F023C" w:rsidRPr="004F023C">
        <w:rPr>
          <w:i/>
          <w:iCs/>
        </w:rPr>
        <w:softHyphen/>
        <w:t>___]</w:t>
      </w:r>
      <w:r w:rsidR="004F023C" w:rsidRPr="004F023C">
        <w:t xml:space="preserve"> </w:t>
      </w:r>
      <w:r w:rsidRPr="004F023C">
        <w:t>€ contr</w:t>
      </w:r>
      <w:r w:rsidR="004F023C" w:rsidRPr="004F023C">
        <w:t xml:space="preserve">e </w:t>
      </w:r>
      <w:r w:rsidR="004F023C" w:rsidRPr="004F023C">
        <w:rPr>
          <w:i/>
          <w:iCs/>
        </w:rPr>
        <w:t>[</w:t>
      </w:r>
      <w:r w:rsidR="004F023C" w:rsidRPr="004F023C">
        <w:rPr>
          <w:i/>
          <w:iCs/>
        </w:rPr>
        <w:softHyphen/>
        <w:t>___]</w:t>
      </w:r>
      <w:r w:rsidR="004F023C" w:rsidRPr="004F023C">
        <w:t xml:space="preserve"> </w:t>
      </w:r>
      <w:r w:rsidRPr="004F023C">
        <w:t xml:space="preserve">€ </w:t>
      </w:r>
      <w:r w:rsidR="00230708" w:rsidRPr="004F023C">
        <w:t>l’année précédente</w:t>
      </w:r>
      <w:r w:rsidRPr="004F023C">
        <w:t xml:space="preserve">, soit une </w:t>
      </w:r>
      <w:r w:rsidR="00230708" w:rsidRPr="004F023C">
        <w:t>d</w:t>
      </w:r>
      <w:r w:rsidRPr="004F023C">
        <w:t>iminution</w:t>
      </w:r>
      <w:r w:rsidR="004F023C" w:rsidRPr="004F023C">
        <w:t xml:space="preserve"> </w:t>
      </w:r>
      <w:r w:rsidR="004F023C" w:rsidRPr="004F023C">
        <w:rPr>
          <w:i/>
          <w:iCs/>
        </w:rPr>
        <w:t>[</w:t>
      </w:r>
      <w:r w:rsidRPr="004F023C">
        <w:rPr>
          <w:i/>
          <w:iCs/>
        </w:rPr>
        <w:t>augmentation</w:t>
      </w:r>
      <w:r w:rsidR="004F023C" w:rsidRPr="004F023C">
        <w:rPr>
          <w:i/>
          <w:iCs/>
        </w:rPr>
        <w:t>]</w:t>
      </w:r>
      <w:r w:rsidRPr="004F023C">
        <w:t xml:space="preserve"> de </w:t>
      </w:r>
      <w:r w:rsidR="004F023C" w:rsidRPr="004F023C">
        <w:rPr>
          <w:i/>
          <w:iCs/>
        </w:rPr>
        <w:t>[</w:t>
      </w:r>
      <w:r w:rsidR="004F023C" w:rsidRPr="004F023C">
        <w:rPr>
          <w:i/>
          <w:iCs/>
        </w:rPr>
        <w:softHyphen/>
        <w:t>___]</w:t>
      </w:r>
      <w:r w:rsidRPr="004F023C">
        <w:t xml:space="preserve"> %.</w:t>
      </w:r>
    </w:p>
    <w:p w14:paraId="6B474A74" w14:textId="77777777" w:rsidR="00461E24" w:rsidRPr="004F023C" w:rsidRDefault="00461E24" w:rsidP="00556138">
      <w:pPr>
        <w:ind w:left="1418"/>
        <w:jc w:val="both"/>
        <w:rPr>
          <w:u w:val="single"/>
        </w:rPr>
      </w:pPr>
      <w:r w:rsidRPr="004F023C">
        <w:rPr>
          <w:u w:val="single"/>
        </w:rPr>
        <w:t>1.3 Divers</w:t>
      </w:r>
    </w:p>
    <w:p w14:paraId="29003835" w14:textId="1B62D217" w:rsidR="002A5F47" w:rsidRDefault="002A5F47" w:rsidP="00556138">
      <w:pPr>
        <w:ind w:left="851"/>
        <w:jc w:val="both"/>
      </w:pPr>
      <w:r w:rsidRPr="004F023C">
        <w:t xml:space="preserve">Les règles d’évaluation des différents postes n’ont pas été modifiées par rapport à l’année précédente </w:t>
      </w:r>
      <w:r w:rsidR="003F75D1" w:rsidRPr="004F023C">
        <w:t>(</w:t>
      </w:r>
      <w:r w:rsidRPr="004F023C">
        <w:rPr>
          <w:highlight w:val="yellow"/>
        </w:rPr>
        <w:t>OU</w:t>
      </w:r>
      <w:r w:rsidRPr="004F023C">
        <w:t xml:space="preserve"> les règles d’évaluation des différents postes ont été modifiées par rapport à </w:t>
      </w:r>
      <w:r w:rsidRPr="004F023C">
        <w:lastRenderedPageBreak/>
        <w:t>l’exercice précédent de la manière suivante :</w:t>
      </w:r>
      <w:r w:rsidR="004F023C" w:rsidRPr="004F023C">
        <w:t xml:space="preserve"> </w:t>
      </w:r>
      <w:r w:rsidR="004F023C" w:rsidRPr="004F023C">
        <w:rPr>
          <w:i/>
          <w:iCs/>
        </w:rPr>
        <w:t>[</w:t>
      </w:r>
      <w:r w:rsidR="004F023C" w:rsidRPr="004F023C">
        <w:rPr>
          <w:i/>
          <w:iCs/>
        </w:rPr>
        <w:softHyphen/>
        <w:t>___]</w:t>
      </w:r>
      <w:r w:rsidR="003F75D1" w:rsidRPr="004F023C">
        <w:t>)</w:t>
      </w:r>
      <w:r w:rsidR="004F023C" w:rsidRPr="004F023C">
        <w:t>.</w:t>
      </w:r>
      <w:r w:rsidR="00A17B46" w:rsidRPr="004F023C">
        <w:t xml:space="preserve"> Le cas échéant</w:t>
      </w:r>
      <w:r w:rsidR="004F023C" w:rsidRPr="004F023C">
        <w:t xml:space="preserve">, </w:t>
      </w:r>
      <w:r w:rsidR="00A17B46" w:rsidRPr="004F023C">
        <w:t>il faut se référer au point 6 « Pertes reportées ou pertes successives » du présent rapport.</w:t>
      </w:r>
    </w:p>
    <w:p w14:paraId="392273F4" w14:textId="77777777" w:rsidR="004F023C" w:rsidRPr="004F023C" w:rsidRDefault="004F023C" w:rsidP="002A5F47">
      <w:pPr>
        <w:ind w:left="1134"/>
        <w:jc w:val="both"/>
      </w:pPr>
    </w:p>
    <w:p w14:paraId="08790AAC" w14:textId="77777777" w:rsidR="002A5F47" w:rsidRPr="004F023C" w:rsidRDefault="00461E24" w:rsidP="00556138">
      <w:pPr>
        <w:ind w:left="1418"/>
        <w:jc w:val="both"/>
      </w:pPr>
      <w:r w:rsidRPr="004F023C">
        <w:rPr>
          <w:u w:val="single"/>
        </w:rPr>
        <w:t xml:space="preserve">1.4 </w:t>
      </w:r>
      <w:r w:rsidR="002A5F47" w:rsidRPr="004F023C">
        <w:rPr>
          <w:u w:val="single"/>
        </w:rPr>
        <w:t>Principaux risques et incertitudes auxquels l’association est confrontée</w:t>
      </w:r>
      <w:r w:rsidR="002A5F47" w:rsidRPr="004F023C">
        <w:t> :</w:t>
      </w:r>
    </w:p>
    <w:p w14:paraId="269B0B8D" w14:textId="283BF6A5" w:rsidR="003F75D1" w:rsidRDefault="003F75D1" w:rsidP="00556138">
      <w:pPr>
        <w:spacing w:before="56"/>
        <w:ind w:left="851" w:right="108"/>
      </w:pPr>
      <w:r w:rsidRPr="00774874">
        <w:t xml:space="preserve">Sur base </w:t>
      </w:r>
      <w:r>
        <w:t>des paramètres</w:t>
      </w:r>
      <w:r w:rsidRPr="00774874">
        <w:t xml:space="preserve"> actuel</w:t>
      </w:r>
      <w:r w:rsidR="00021CB6">
        <w:t>s</w:t>
      </w:r>
      <w:r>
        <w:t xml:space="preserve"> et mesurés par l’organe </w:t>
      </w:r>
      <w:r w:rsidR="006E0DCD">
        <w:t>d’administration</w:t>
      </w:r>
      <w:r w:rsidRPr="00774874">
        <w:t>, l</w:t>
      </w:r>
      <w:r>
        <w:t>’association</w:t>
      </w:r>
      <w:r w:rsidRPr="00774874">
        <w:t xml:space="preserve"> n'est confrontée à aucun risque majeur</w:t>
      </w:r>
      <w:r w:rsidRPr="00774874">
        <w:rPr>
          <w:spacing w:val="-31"/>
        </w:rPr>
        <w:t xml:space="preserve"> </w:t>
      </w:r>
      <w:r w:rsidRPr="00774874">
        <w:t>exceptionnel.</w:t>
      </w:r>
    </w:p>
    <w:p w14:paraId="2516FA5D" w14:textId="7AE9B104" w:rsidR="003F75D1" w:rsidRPr="00774874" w:rsidRDefault="003F75D1" w:rsidP="00556138">
      <w:pPr>
        <w:spacing w:before="56"/>
        <w:ind w:left="851" w:right="108"/>
        <w:rPr>
          <w:rFonts w:eastAsia="Calibri" w:cs="Calibri"/>
        </w:rPr>
      </w:pPr>
      <w:r>
        <w:t>(</w:t>
      </w:r>
      <w:r w:rsidRPr="0050466D">
        <w:rPr>
          <w:highlight w:val="yellow"/>
        </w:rPr>
        <w:t>OU</w:t>
      </w:r>
      <w:r>
        <w:t xml:space="preserve"> : L’organe </w:t>
      </w:r>
      <w:r w:rsidR="006E0DCD">
        <w:t>d’administration</w:t>
      </w:r>
      <w:r>
        <w:t xml:space="preserve"> a identifié les risques et incertitudes suivants :</w:t>
      </w:r>
      <w:r w:rsidR="004F023C" w:rsidRPr="004F023C">
        <w:rPr>
          <w:i/>
          <w:iCs/>
        </w:rPr>
        <w:t xml:space="preserve"> [</w:t>
      </w:r>
      <w:r w:rsidR="004F023C" w:rsidRPr="004F023C">
        <w:rPr>
          <w:i/>
          <w:iCs/>
        </w:rPr>
        <w:softHyphen/>
        <w:t>___]</w:t>
      </w:r>
      <w:r>
        <w:t>)</w:t>
      </w:r>
    </w:p>
    <w:p w14:paraId="7D8F88F7" w14:textId="77777777" w:rsidR="002A5F47" w:rsidRDefault="002A5F47" w:rsidP="00DD28A7">
      <w:pPr>
        <w:spacing w:before="0" w:after="0"/>
        <w:jc w:val="both"/>
      </w:pPr>
    </w:p>
    <w:p w14:paraId="06865B01" w14:textId="77777777" w:rsidR="006668D4" w:rsidRPr="00443326" w:rsidRDefault="00461E24">
      <w:pPr>
        <w:pStyle w:val="SR-Titre1"/>
      </w:pPr>
      <w:bookmarkStart w:id="0" w:name="_Hlk37063590"/>
      <w:r>
        <w:t>E</w:t>
      </w:r>
      <w:r w:rsidR="00F6131D">
        <w:t>vènements importants survenus depuis la clôture de l’exercice</w:t>
      </w:r>
    </w:p>
    <w:bookmarkEnd w:id="0"/>
    <w:p w14:paraId="6B5DDECC" w14:textId="77777777" w:rsidR="00F6131D" w:rsidRDefault="00F6131D" w:rsidP="00556138">
      <w:pPr>
        <w:spacing w:before="0" w:after="0"/>
        <w:ind w:left="851"/>
        <w:jc w:val="both"/>
      </w:pPr>
      <w:r>
        <w:t xml:space="preserve">Aucun événement important de nature à influencer la situation de </w:t>
      </w:r>
      <w:r w:rsidR="00461E24">
        <w:t>l’association</w:t>
      </w:r>
      <w:r>
        <w:t xml:space="preserve"> n’est survenu après la clôture de l’exercice.</w:t>
      </w:r>
    </w:p>
    <w:p w14:paraId="0B39231C" w14:textId="77777777" w:rsidR="00B641CB" w:rsidRDefault="00B641CB" w:rsidP="00556138">
      <w:pPr>
        <w:spacing w:before="0" w:after="0"/>
        <w:ind w:left="851"/>
        <w:jc w:val="both"/>
      </w:pPr>
    </w:p>
    <w:p w14:paraId="2A04AB56" w14:textId="14DCEFD6" w:rsidR="00B641CB" w:rsidRDefault="003F75D1" w:rsidP="00556138">
      <w:pPr>
        <w:spacing w:before="0" w:after="0"/>
        <w:ind w:left="851"/>
        <w:jc w:val="both"/>
      </w:pPr>
      <w:r>
        <w:rPr>
          <w:highlight w:val="yellow"/>
        </w:rPr>
        <w:t>(</w:t>
      </w:r>
      <w:r w:rsidR="00B641CB" w:rsidRPr="00B641CB">
        <w:rPr>
          <w:highlight w:val="yellow"/>
        </w:rPr>
        <w:t>OU</w:t>
      </w:r>
      <w:r>
        <w:t> :</w:t>
      </w:r>
      <w:r w:rsidR="004F023C">
        <w:t xml:space="preserve"> </w:t>
      </w:r>
      <w:r w:rsidR="00B641CB">
        <w:t xml:space="preserve">Les évènements suivants survenus après la clôture de l’exercice sont de nature à influencer la situation de </w:t>
      </w:r>
      <w:r w:rsidR="00461E24">
        <w:t>l’association</w:t>
      </w:r>
      <w:r w:rsidR="00B641CB">
        <w:t> :</w:t>
      </w:r>
      <w:r w:rsidR="004F023C" w:rsidRPr="004F023C">
        <w:rPr>
          <w:i/>
          <w:iCs/>
        </w:rPr>
        <w:t xml:space="preserve"> [</w:t>
      </w:r>
      <w:r w:rsidR="004F023C" w:rsidRPr="004F023C">
        <w:rPr>
          <w:i/>
          <w:iCs/>
        </w:rPr>
        <w:softHyphen/>
        <w:t>___]</w:t>
      </w:r>
      <w:r>
        <w:t>)</w:t>
      </w:r>
    </w:p>
    <w:p w14:paraId="102DC4A2" w14:textId="77777777" w:rsidR="00B641CB" w:rsidRDefault="00B641CB" w:rsidP="003F75D1">
      <w:pPr>
        <w:spacing w:before="0" w:after="0"/>
        <w:jc w:val="both"/>
      </w:pPr>
    </w:p>
    <w:p w14:paraId="46DD2BC8" w14:textId="77777777" w:rsidR="00624ADA" w:rsidRDefault="00624ADA" w:rsidP="003F75D1">
      <w:pPr>
        <w:spacing w:before="0" w:after="0"/>
        <w:jc w:val="both"/>
      </w:pPr>
    </w:p>
    <w:p w14:paraId="2DE56296" w14:textId="3A629CF7" w:rsidR="006668D4" w:rsidRDefault="00467226">
      <w:pPr>
        <w:pStyle w:val="SR-Titre1"/>
      </w:pPr>
      <w:bookmarkStart w:id="1" w:name="_Toc380734904"/>
      <w:r>
        <w:t xml:space="preserve">Indications sur les circonstances susceptibles d’avoir une influence </w:t>
      </w:r>
      <w:r w:rsidR="00F86A70">
        <w:t xml:space="preserve">notable </w:t>
      </w:r>
      <w:r>
        <w:t xml:space="preserve">sur </w:t>
      </w:r>
      <w:r w:rsidR="00895FDE">
        <w:t>le</w:t>
      </w:r>
      <w:r w:rsidR="00F86A70">
        <w:t xml:space="preserve"> développement</w:t>
      </w:r>
      <w:r w:rsidR="00952CA1">
        <w:t xml:space="preserve"> de </w:t>
      </w:r>
      <w:r w:rsidR="00461E24">
        <w:t>l’association</w:t>
      </w:r>
      <w:bookmarkEnd w:id="1"/>
    </w:p>
    <w:p w14:paraId="5403E08B" w14:textId="4EFD66A2" w:rsidR="0050466D" w:rsidRDefault="0050466D" w:rsidP="00556138">
      <w:pPr>
        <w:spacing w:before="0" w:after="0"/>
        <w:ind w:left="851"/>
        <w:jc w:val="both"/>
      </w:pPr>
      <w:r w:rsidRPr="0050466D">
        <w:t>Aucun</w:t>
      </w:r>
      <w:r w:rsidR="00F86A70">
        <w:t xml:space="preserve"> élément</w:t>
      </w:r>
      <w:r w:rsidR="00895FDE">
        <w:t xml:space="preserve"> </w:t>
      </w:r>
      <w:r w:rsidR="00F86A70">
        <w:t xml:space="preserve">qui soit </w:t>
      </w:r>
      <w:r w:rsidRPr="0050466D">
        <w:t xml:space="preserve">susceptible d'avoir une influence sur le développement de </w:t>
      </w:r>
      <w:r w:rsidR="006E0DCD">
        <w:t>l’association</w:t>
      </w:r>
      <w:r w:rsidRPr="0050466D">
        <w:t xml:space="preserve"> n'a été détectée pour les mois à venir</w:t>
      </w:r>
      <w:r w:rsidR="00684B0F">
        <w:t xml:space="preserve"> et n’est à porter à la connaissance de l’assemblée générale</w:t>
      </w:r>
      <w:r w:rsidRPr="0050466D">
        <w:t>.</w:t>
      </w:r>
    </w:p>
    <w:p w14:paraId="33CA1C59" w14:textId="00733D78" w:rsidR="00624ADA" w:rsidRDefault="00624ADA" w:rsidP="00556138">
      <w:pPr>
        <w:spacing w:before="0" w:after="0"/>
        <w:ind w:left="851"/>
        <w:jc w:val="both"/>
      </w:pPr>
    </w:p>
    <w:p w14:paraId="6009CCAE" w14:textId="77777777" w:rsidR="004F023C" w:rsidRPr="0050466D" w:rsidRDefault="004F023C" w:rsidP="0050466D">
      <w:pPr>
        <w:spacing w:before="0" w:after="0"/>
        <w:ind w:left="1134"/>
        <w:jc w:val="both"/>
      </w:pPr>
    </w:p>
    <w:p w14:paraId="6BAE52BA" w14:textId="77777777" w:rsidR="007D36A9" w:rsidRDefault="00467226">
      <w:pPr>
        <w:pStyle w:val="SR-Titre1"/>
      </w:pPr>
      <w:r>
        <w:t>Indication en matière de frais de recherches et développement</w:t>
      </w:r>
    </w:p>
    <w:p w14:paraId="19A8A5F4" w14:textId="77777777" w:rsidR="006668D4" w:rsidRDefault="00B07AF7" w:rsidP="00556138">
      <w:pPr>
        <w:spacing w:before="0" w:after="0"/>
        <w:ind w:left="851"/>
        <w:jc w:val="both"/>
        <w:rPr>
          <w:rFonts w:asciiTheme="minorHAnsi" w:hAnsiTheme="minorHAnsi"/>
        </w:rPr>
      </w:pPr>
      <w:r>
        <w:rPr>
          <w:rFonts w:asciiTheme="minorHAnsi" w:hAnsiTheme="minorHAnsi"/>
        </w:rPr>
        <w:t>Il n’y a pas d’indications spécifiques en matière de recherche et de développement.</w:t>
      </w:r>
    </w:p>
    <w:p w14:paraId="75F34932" w14:textId="03994A62" w:rsidR="00B07AF7" w:rsidRDefault="0050466D" w:rsidP="00556138">
      <w:pPr>
        <w:ind w:left="851"/>
        <w:jc w:val="both"/>
        <w:rPr>
          <w:rFonts w:asciiTheme="minorHAnsi" w:hAnsiTheme="minorHAnsi"/>
        </w:rPr>
      </w:pPr>
      <w:r>
        <w:rPr>
          <w:highlight w:val="yellow"/>
        </w:rPr>
        <w:t>(</w:t>
      </w:r>
      <w:r w:rsidR="00B07AF7" w:rsidRPr="00B641CB">
        <w:rPr>
          <w:highlight w:val="yellow"/>
        </w:rPr>
        <w:t>OU</w:t>
      </w:r>
      <w:r>
        <w:t xml:space="preserve"> </w:t>
      </w:r>
      <w:r w:rsidR="00B07AF7">
        <w:rPr>
          <w:rFonts w:asciiTheme="minorHAnsi" w:hAnsiTheme="minorHAnsi"/>
        </w:rPr>
        <w:t xml:space="preserve">En matière de recherche et développement, les indications suivantes sont notables pour </w:t>
      </w:r>
      <w:r w:rsidR="00461E24">
        <w:rPr>
          <w:rFonts w:asciiTheme="minorHAnsi" w:hAnsiTheme="minorHAnsi"/>
        </w:rPr>
        <w:t>l’association</w:t>
      </w:r>
      <w:r w:rsidR="00B07AF7">
        <w:rPr>
          <w:rFonts w:asciiTheme="minorHAnsi" w:hAnsiTheme="minorHAnsi"/>
        </w:rPr>
        <w:t> :</w:t>
      </w:r>
      <w:r w:rsidR="004F023C" w:rsidRPr="004F023C">
        <w:rPr>
          <w:i/>
          <w:iCs/>
        </w:rPr>
        <w:t xml:space="preserve"> [</w:t>
      </w:r>
      <w:r w:rsidR="004F023C" w:rsidRPr="004F023C">
        <w:rPr>
          <w:i/>
          <w:iCs/>
        </w:rPr>
        <w:softHyphen/>
        <w:t>___]</w:t>
      </w:r>
      <w:r>
        <w:rPr>
          <w:rFonts w:asciiTheme="minorHAnsi" w:hAnsiTheme="minorHAnsi"/>
        </w:rPr>
        <w:t>)</w:t>
      </w:r>
    </w:p>
    <w:p w14:paraId="114BEEEA" w14:textId="77777777" w:rsidR="00624ADA" w:rsidRPr="0050466D" w:rsidRDefault="00624ADA" w:rsidP="0050466D">
      <w:pPr>
        <w:ind w:left="1134"/>
        <w:jc w:val="both"/>
        <w:rPr>
          <w:rFonts w:asciiTheme="minorHAnsi" w:hAnsiTheme="minorHAnsi"/>
        </w:rPr>
      </w:pPr>
    </w:p>
    <w:p w14:paraId="29194247" w14:textId="645FD88F" w:rsidR="006668D4" w:rsidRPr="00B9778A" w:rsidRDefault="00467226">
      <w:pPr>
        <w:pStyle w:val="SR-Titre1"/>
      </w:pPr>
      <w:bookmarkStart w:id="2" w:name="_Hlk34995481"/>
      <w:r w:rsidRPr="00B9778A">
        <w:t>Indication</w:t>
      </w:r>
      <w:r w:rsidR="006E0DCD" w:rsidRPr="00B9778A">
        <w:t>s</w:t>
      </w:r>
      <w:r w:rsidRPr="00B9778A">
        <w:t xml:space="preserve"> relatives à l’existence de s</w:t>
      </w:r>
      <w:r w:rsidR="00952CA1" w:rsidRPr="00B9778A">
        <w:t>uccursales</w:t>
      </w:r>
    </w:p>
    <w:p w14:paraId="49106B45" w14:textId="77777777" w:rsidR="00030AF4" w:rsidRDefault="0050466D" w:rsidP="00556138">
      <w:pPr>
        <w:ind w:left="851"/>
        <w:jc w:val="both"/>
      </w:pPr>
      <w:r>
        <w:t>L’association ne possède pas de succursale.</w:t>
      </w:r>
    </w:p>
    <w:p w14:paraId="15F008DD" w14:textId="5DB822B9" w:rsidR="00B07AF7" w:rsidRDefault="0050466D" w:rsidP="00556138">
      <w:pPr>
        <w:ind w:left="851"/>
        <w:jc w:val="both"/>
      </w:pPr>
      <w:r>
        <w:rPr>
          <w:highlight w:val="yellow"/>
        </w:rPr>
        <w:t>(</w:t>
      </w:r>
      <w:r w:rsidRPr="0050466D">
        <w:rPr>
          <w:highlight w:val="yellow"/>
        </w:rPr>
        <w:t>OU</w:t>
      </w:r>
      <w:r>
        <w:t xml:space="preserve"> : </w:t>
      </w:r>
      <w:r w:rsidR="00B07AF7">
        <w:t xml:space="preserve">Les succursales de </w:t>
      </w:r>
      <w:r w:rsidR="00461E24">
        <w:t>l’association</w:t>
      </w:r>
      <w:r w:rsidR="00B07AF7">
        <w:t xml:space="preserve"> ont présenté les caractéristiques majeures suivantes durant l’exercice clôturé :</w:t>
      </w:r>
      <w:r w:rsidR="004F023C" w:rsidRPr="004F023C">
        <w:rPr>
          <w:i/>
          <w:iCs/>
        </w:rPr>
        <w:t xml:space="preserve"> [</w:t>
      </w:r>
      <w:r w:rsidR="004F023C" w:rsidRPr="004F023C">
        <w:rPr>
          <w:i/>
          <w:iCs/>
        </w:rPr>
        <w:softHyphen/>
        <w:t>___]</w:t>
      </w:r>
      <w:r>
        <w:t>)</w:t>
      </w:r>
    </w:p>
    <w:bookmarkEnd w:id="2"/>
    <w:p w14:paraId="3490D51C" w14:textId="77777777" w:rsidR="00B07AF7" w:rsidRDefault="00B07AF7" w:rsidP="0050466D">
      <w:pPr>
        <w:spacing w:before="0" w:after="0"/>
        <w:jc w:val="both"/>
      </w:pPr>
    </w:p>
    <w:p w14:paraId="6F0623ED" w14:textId="77777777" w:rsidR="00EC5847" w:rsidRDefault="00EC5847" w:rsidP="0050466D">
      <w:pPr>
        <w:spacing w:before="0" w:after="0"/>
        <w:jc w:val="both"/>
      </w:pPr>
    </w:p>
    <w:p w14:paraId="334C704F" w14:textId="66D3685A" w:rsidR="00BF7B6D" w:rsidRDefault="0055133F">
      <w:pPr>
        <w:pStyle w:val="SR-Titre1"/>
      </w:pPr>
      <w:r>
        <w:lastRenderedPageBreak/>
        <w:t>Pertes reportées</w:t>
      </w:r>
      <w:r w:rsidR="00A17B46">
        <w:t xml:space="preserve"> ou pertes successives</w:t>
      </w:r>
      <w:r w:rsidR="00327708">
        <w:t xml:space="preserve"> (</w:t>
      </w:r>
      <w:r w:rsidR="00847D29">
        <w:t>si applicable</w:t>
      </w:r>
      <w:r>
        <w:t xml:space="preserve">) </w:t>
      </w:r>
    </w:p>
    <w:p w14:paraId="0B78526E" w14:textId="222DBBC5" w:rsidR="00B9778A" w:rsidRPr="006E0DCD" w:rsidRDefault="00B9778A" w:rsidP="00556138">
      <w:pPr>
        <w:ind w:left="851"/>
        <w:jc w:val="both"/>
      </w:pPr>
      <w:r>
        <w:t xml:space="preserve">Le bilan fait apparaître une perte reportée, ou le compte de résultats fait apparaître pendant deux exercices successifs une perte de l’exercice. Les règles d’évaluation n’ont pas été modifiées et il est fait application des règles comptables de continuité ; cela se justifie par </w:t>
      </w:r>
      <w:r w:rsidRPr="00B9778A">
        <w:rPr>
          <w:i/>
          <w:iCs/>
        </w:rPr>
        <w:t>[___]</w:t>
      </w:r>
      <w:r>
        <w:t>.</w:t>
      </w:r>
    </w:p>
    <w:p w14:paraId="58E81A2F" w14:textId="64CEDEA0" w:rsidR="006E0DCD" w:rsidRDefault="00021CB6">
      <w:pPr>
        <w:pStyle w:val="SR-Titre1"/>
      </w:pPr>
      <w:r>
        <w:t>Utilisation d’instruments financiers</w:t>
      </w:r>
      <w:r w:rsidR="00847D29">
        <w:t xml:space="preserve"> (si applicable)</w:t>
      </w:r>
    </w:p>
    <w:p w14:paraId="167D5813" w14:textId="77777777" w:rsidR="00BF7B6D" w:rsidRDefault="00461E24" w:rsidP="00556138">
      <w:pPr>
        <w:ind w:left="851"/>
        <w:jc w:val="both"/>
      </w:pPr>
      <w:r>
        <w:t>L’association</w:t>
      </w:r>
      <w:r w:rsidR="00BF7B6D">
        <w:t xml:space="preserve"> n’a pas utilisé d’instruments financiers durant l’exercice clôturé.</w:t>
      </w:r>
    </w:p>
    <w:p w14:paraId="61A88E6B" w14:textId="77777777" w:rsidR="0033439E" w:rsidRDefault="0050466D" w:rsidP="00556138">
      <w:pPr>
        <w:ind w:left="851"/>
        <w:jc w:val="both"/>
      </w:pPr>
      <w:r>
        <w:rPr>
          <w:highlight w:val="yellow"/>
        </w:rPr>
        <w:t>(</w:t>
      </w:r>
      <w:r w:rsidR="00BF7B6D" w:rsidRPr="00BF7B6D">
        <w:rPr>
          <w:highlight w:val="yellow"/>
        </w:rPr>
        <w:t>OU</w:t>
      </w:r>
      <w:r>
        <w:t xml:space="preserve"> : </w:t>
      </w:r>
      <w:r w:rsidR="00461E24">
        <w:t>L’association</w:t>
      </w:r>
      <w:r w:rsidR="0033439E">
        <w:t xml:space="preserve"> a utilisé des instruments financiers avec, pour chacun d’eux, une couverture de risque </w:t>
      </w:r>
      <w:r w:rsidR="0033439E" w:rsidRPr="0050466D">
        <w:t>spécifique. + liste instruments et méthode de couverture des risques</w:t>
      </w:r>
      <w:r w:rsidRPr="0050466D">
        <w:t>)</w:t>
      </w:r>
    </w:p>
    <w:p w14:paraId="4F1A8762" w14:textId="6D04383C" w:rsidR="00467226" w:rsidRDefault="00467226">
      <w:pPr>
        <w:pStyle w:val="SR-Titre1"/>
      </w:pPr>
      <w:r>
        <w:t>Conflits d’intérêts (</w:t>
      </w:r>
      <w:r w:rsidR="00847D29">
        <w:t xml:space="preserve">si </w:t>
      </w:r>
      <w:r w:rsidR="00A403AF">
        <w:t xml:space="preserve">applicable à partir du 1/1/2020 </w:t>
      </w:r>
      <w:r w:rsidR="00847D29">
        <w:t xml:space="preserve">et à mentionner dans </w:t>
      </w:r>
      <w:r w:rsidR="00A403AF">
        <w:t>le rapport de gestion se rapportant aux exercices comptables se clôturant après le 1/1/2020</w:t>
      </w:r>
      <w:r>
        <w:t>)</w:t>
      </w:r>
    </w:p>
    <w:p w14:paraId="7D399E49" w14:textId="1F71D250" w:rsidR="00300096" w:rsidRDefault="00300096" w:rsidP="0050466D">
      <w:pPr>
        <w:pStyle w:val="ListParagraph"/>
        <w:numPr>
          <w:ilvl w:val="0"/>
          <w:numId w:val="27"/>
        </w:numPr>
        <w:spacing w:before="0" w:after="0"/>
        <w:ind w:left="1491" w:hanging="357"/>
        <w:jc w:val="both"/>
      </w:pPr>
      <w:r>
        <w:t>(</w:t>
      </w:r>
      <w:r w:rsidRPr="00300096">
        <w:t>l</w:t>
      </w:r>
      <w:r w:rsidRPr="00300096">
        <w:rPr>
          <w:i/>
          <w:iCs/>
        </w:rPr>
        <w:t xml:space="preserve">'organe d'administration décrit dans le procès-verbal la nature de la décision ou de l'opération visée à l'alinéa 1er et les conséquences patrimoniales de celle-ci pour l'association et justifie la décision qui a été prise. </w:t>
      </w:r>
      <w:r w:rsidRPr="00300096">
        <w:rPr>
          <w:b/>
          <w:bCs/>
          <w:i/>
          <w:iCs/>
        </w:rPr>
        <w:t>Cette partie du procès-verbal est reprise dans son intégralité dans le rapport de gestion</w:t>
      </w:r>
      <w:r w:rsidRPr="00300096">
        <w:rPr>
          <w:i/>
          <w:iCs/>
        </w:rPr>
        <w:t xml:space="preserve"> ou dans le document déposé en même temps que les comptes annuels</w:t>
      </w:r>
      <w:r w:rsidRPr="00300096">
        <w:t>.</w:t>
      </w:r>
      <w:r>
        <w:t xml:space="preserve"> </w:t>
      </w:r>
    </w:p>
    <w:p w14:paraId="1516039E" w14:textId="30E32A6D" w:rsidR="00024ADF" w:rsidRDefault="00300096" w:rsidP="00966A06">
      <w:pPr>
        <w:pStyle w:val="ListParagraph"/>
        <w:numPr>
          <w:ilvl w:val="0"/>
          <w:numId w:val="27"/>
        </w:numPr>
        <w:tabs>
          <w:tab w:val="left" w:pos="1440"/>
        </w:tabs>
        <w:spacing w:before="0" w:after="0"/>
        <w:ind w:left="1491" w:hanging="357"/>
        <w:jc w:val="both"/>
        <w:rPr>
          <w:i/>
          <w:iCs/>
        </w:rPr>
      </w:pPr>
      <w:r w:rsidRPr="00B24047">
        <w:rPr>
          <w:i/>
          <w:iCs/>
        </w:rPr>
        <w:t xml:space="preserve"> reprise de l’extrait du procès-verbal de l’organe d’administration pour chaque opération</w:t>
      </w:r>
      <w:r w:rsidR="00556138" w:rsidRPr="00B24047">
        <w:rPr>
          <w:i/>
          <w:iCs/>
        </w:rPr>
        <w:t>)</w:t>
      </w:r>
      <w:r w:rsidRPr="00B24047">
        <w:rPr>
          <w:i/>
          <w:iCs/>
        </w:rPr>
        <w:t>.</w:t>
      </w:r>
    </w:p>
    <w:p w14:paraId="0C126BA6" w14:textId="77777777" w:rsidR="00FE2DDC" w:rsidRPr="00FE2DDC" w:rsidRDefault="00B24047" w:rsidP="00FE2DDC">
      <w:pPr>
        <w:pStyle w:val="ListParagraph"/>
        <w:numPr>
          <w:ilvl w:val="0"/>
          <w:numId w:val="27"/>
        </w:numPr>
        <w:tabs>
          <w:tab w:val="left" w:pos="1440"/>
        </w:tabs>
        <w:spacing w:before="0" w:after="0"/>
        <w:jc w:val="both"/>
      </w:pPr>
      <w:bookmarkStart w:id="3" w:name="_Hlk37237472"/>
      <w:r w:rsidRPr="00FE2DDC">
        <w:rPr>
          <w:i/>
          <w:iCs/>
        </w:rPr>
        <w:t>Si le conflit d’intérêt</w:t>
      </w:r>
      <w:r w:rsidR="0082151C" w:rsidRPr="00FE2DDC">
        <w:rPr>
          <w:i/>
          <w:iCs/>
        </w:rPr>
        <w:t>s</w:t>
      </w:r>
      <w:r w:rsidRPr="00FE2DDC">
        <w:rPr>
          <w:i/>
          <w:iCs/>
        </w:rPr>
        <w:t xml:space="preserve"> est postérieur au 31/12/2019 et à la date de clôture des comptes annuels</w:t>
      </w:r>
      <w:r w:rsidR="0082151C" w:rsidRPr="00FE2DDC">
        <w:rPr>
          <w:i/>
          <w:iCs/>
        </w:rPr>
        <w:t>,</w:t>
      </w:r>
      <w:r w:rsidRPr="00FE2DDC">
        <w:rPr>
          <w:i/>
          <w:iCs/>
        </w:rPr>
        <w:t xml:space="preserve"> et </w:t>
      </w:r>
      <w:r w:rsidR="0082151C" w:rsidRPr="00FE2DDC">
        <w:rPr>
          <w:i/>
          <w:iCs/>
        </w:rPr>
        <w:t xml:space="preserve">s’il </w:t>
      </w:r>
      <w:r w:rsidRPr="00FE2DDC">
        <w:rPr>
          <w:i/>
          <w:iCs/>
        </w:rPr>
        <w:t>précède la date d’arrêt des comptes annuels, et est à considérer comme significatif par l’organe d’administration pour le lecteur des comptes annuels, il y a lieu de mentionner alors ce conflit sous le poste « 2 Evènements importants survenus depuis la clôture de l’exercice »</w:t>
      </w:r>
      <w:r w:rsidR="00962282" w:rsidRPr="00FE2DDC">
        <w:rPr>
          <w:i/>
          <w:iCs/>
        </w:rPr>
        <w:t>.</w:t>
      </w:r>
    </w:p>
    <w:p w14:paraId="171BD0AA" w14:textId="39B8854A" w:rsidR="00962282" w:rsidRPr="00B24047" w:rsidRDefault="00B24047" w:rsidP="00FE2DDC">
      <w:pPr>
        <w:pStyle w:val="ListParagraph"/>
        <w:numPr>
          <w:ilvl w:val="0"/>
          <w:numId w:val="27"/>
        </w:numPr>
        <w:tabs>
          <w:tab w:val="left" w:pos="1440"/>
        </w:tabs>
        <w:spacing w:before="0" w:after="0"/>
        <w:jc w:val="both"/>
      </w:pPr>
      <w:r w:rsidRPr="00FE2DDC">
        <w:rPr>
          <w:b/>
          <w:i/>
        </w:rPr>
        <w:t>Pour les comptes annuels clôturés au 31/12/2019</w:t>
      </w:r>
      <w:r w:rsidRPr="00FE2DDC">
        <w:rPr>
          <w:i/>
        </w:rPr>
        <w:t xml:space="preserve"> ou à une date antérieure (comptes annuels présentés à une assemblée générale en 2020) : s</w:t>
      </w:r>
      <w:r w:rsidR="006F04C2" w:rsidRPr="00FE2DDC">
        <w:rPr>
          <w:i/>
        </w:rPr>
        <w:t>i le conflit d’intérêt</w:t>
      </w:r>
      <w:r w:rsidR="0082151C" w:rsidRPr="00FE2DDC">
        <w:rPr>
          <w:i/>
        </w:rPr>
        <w:t>s</w:t>
      </w:r>
      <w:r w:rsidR="006F04C2" w:rsidRPr="00FE2DDC">
        <w:rPr>
          <w:i/>
        </w:rPr>
        <w:t xml:space="preserve"> est postérieur </w:t>
      </w:r>
      <w:r w:rsidRPr="00FE2DDC">
        <w:rPr>
          <w:i/>
        </w:rPr>
        <w:t xml:space="preserve">au 31/12/2019 </w:t>
      </w:r>
      <w:r w:rsidR="006F04C2" w:rsidRPr="00FE2DDC">
        <w:rPr>
          <w:i/>
        </w:rPr>
        <w:t xml:space="preserve">et précède la date d’arrêt des comptes annuels, et </w:t>
      </w:r>
      <w:r w:rsidR="0082151C" w:rsidRPr="00FE2DDC">
        <w:rPr>
          <w:i/>
        </w:rPr>
        <w:t xml:space="preserve">s’il </w:t>
      </w:r>
      <w:r w:rsidR="006F04C2" w:rsidRPr="00FE2DDC">
        <w:rPr>
          <w:i/>
        </w:rPr>
        <w:t>est à considérer comme significatif par l’organe d’administration pour le lecteur des comptes annuels, il y a lieu de mentionner alors ce conflit sous le poste « 2 Evènements importants survenus depuis la clôture de l’exercice »</w:t>
      </w:r>
      <w:r w:rsidR="00962282" w:rsidRPr="00FE2DDC">
        <w:rPr>
          <w:i/>
        </w:rPr>
        <w:t>.</w:t>
      </w:r>
      <w:bookmarkEnd w:id="3"/>
    </w:p>
    <w:p w14:paraId="1AAEC7DC" w14:textId="77777777" w:rsidR="00024ADF" w:rsidRDefault="00024ADF" w:rsidP="005D660A">
      <w:pPr>
        <w:tabs>
          <w:tab w:val="left" w:pos="1440"/>
        </w:tabs>
        <w:ind w:left="851"/>
      </w:pPr>
      <w:bookmarkStart w:id="4" w:name="_Hlk519258266"/>
    </w:p>
    <w:p w14:paraId="42F897BF" w14:textId="77777777" w:rsidR="005A2E29" w:rsidRDefault="005A2E29" w:rsidP="005A2E29">
      <w:pPr>
        <w:tabs>
          <w:tab w:val="left" w:pos="1440"/>
        </w:tabs>
      </w:pPr>
      <w:r>
        <w:t>Fait à ***, le **/**/****</w:t>
      </w:r>
      <w:r w:rsidR="002C3DE2">
        <w:t>.</w:t>
      </w:r>
    </w:p>
    <w:p w14:paraId="29A51591" w14:textId="799EE331" w:rsidR="00736FCF" w:rsidRDefault="002C3DE2" w:rsidP="005A2E29">
      <w:pPr>
        <w:tabs>
          <w:tab w:val="left" w:pos="1440"/>
        </w:tabs>
      </w:pPr>
      <w:r>
        <w:t>Pour l’</w:t>
      </w:r>
      <w:r w:rsidR="005A2E29">
        <w:t xml:space="preserve">organe </w:t>
      </w:r>
      <w:bookmarkEnd w:id="4"/>
      <w:r w:rsidR="006E0DCD">
        <w:t>d’administration</w:t>
      </w:r>
      <w:r>
        <w:t>,</w:t>
      </w:r>
    </w:p>
    <w:p w14:paraId="1D604D48" w14:textId="5CCCE614" w:rsidR="00556138" w:rsidRDefault="00556138" w:rsidP="00924D01">
      <w:pPr>
        <w:tabs>
          <w:tab w:val="left" w:pos="1440"/>
        </w:tabs>
        <w:sectPr w:rsidR="00556138" w:rsidSect="00291B79">
          <w:headerReference w:type="default" r:id="rId12"/>
          <w:footerReference w:type="even" r:id="rId13"/>
          <w:pgSz w:w="11906" w:h="16838"/>
          <w:pgMar w:top="1417" w:right="1417" w:bottom="1417" w:left="1417" w:header="708" w:footer="708" w:gutter="0"/>
          <w:cols w:space="708"/>
          <w:docGrid w:linePitch="360"/>
        </w:sectPr>
      </w:pPr>
    </w:p>
    <w:p w14:paraId="12817B35" w14:textId="77777777" w:rsidR="00693947" w:rsidRDefault="00924D01" w:rsidP="00924D01">
      <w:pPr>
        <w:tabs>
          <w:tab w:val="left" w:pos="1440"/>
        </w:tabs>
        <w:sectPr w:rsidR="00693947" w:rsidSect="00693947">
          <w:type w:val="continuous"/>
          <w:pgSz w:w="11906" w:h="16838"/>
          <w:pgMar w:top="1417" w:right="1417" w:bottom="1417" w:left="1417" w:header="708" w:footer="708" w:gutter="0"/>
          <w:cols w:num="2" w:space="708"/>
          <w:docGrid w:linePitch="360"/>
        </w:sectPr>
      </w:pPr>
      <w:r>
        <w:rPr>
          <w:noProof/>
          <w:lang w:val="en-IE" w:eastAsia="en-IE"/>
        </w:rPr>
        <mc:AlternateContent>
          <mc:Choice Requires="wps">
            <w:drawing>
              <wp:anchor distT="0" distB="0" distL="114300" distR="114300" simplePos="0" relativeHeight="251665408" behindDoc="0" locked="0" layoutInCell="1" allowOverlap="1" wp14:anchorId="65B58766" wp14:editId="00183923">
                <wp:simplePos x="0" y="0"/>
                <wp:positionH relativeFrom="column">
                  <wp:posOffset>0</wp:posOffset>
                </wp:positionH>
                <wp:positionV relativeFrom="paragraph">
                  <wp:posOffset>0</wp:posOffset>
                </wp:positionV>
                <wp:extent cx="202882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44F43C" id="Connecteur droit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1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" strokecolor="black [3040]"/>
            </w:pict>
          </mc:Fallback>
        </mc:AlternateContent>
      </w:r>
    </w:p>
    <w:p w14:paraId="04166972" w14:textId="5DE9DEAE" w:rsidR="00556138" w:rsidRDefault="00556138"/>
    <w:p w14:paraId="5E8C94BB" w14:textId="77777777" w:rsidR="005D660A" w:rsidRDefault="005D660A"/>
    <w:p w14:paraId="5232A9D7" w14:textId="77777777" w:rsidR="005D660A" w:rsidRDefault="005D660A"/>
    <w:p w14:paraId="4C007631" w14:textId="7DA37D9A" w:rsidR="00F86A70" w:rsidRPr="00556138" w:rsidRDefault="00F86A70" w:rsidP="005D660A">
      <w:pPr>
        <w:rPr>
          <w:b/>
          <w:bCs/>
          <w:i/>
          <w:iCs/>
          <w:u w:val="single"/>
        </w:rPr>
      </w:pPr>
      <w:bookmarkStart w:id="6" w:name="_GoBack"/>
      <w:bookmarkEnd w:id="6"/>
      <w:r w:rsidRPr="00556138">
        <w:rPr>
          <w:b/>
          <w:bCs/>
          <w:u w:val="single"/>
        </w:rPr>
        <w:lastRenderedPageBreak/>
        <w:t>E</w:t>
      </w:r>
      <w:r w:rsidRPr="00556138">
        <w:rPr>
          <w:b/>
          <w:bCs/>
          <w:i/>
          <w:iCs/>
          <w:u w:val="single"/>
        </w:rPr>
        <w:t>XTRAIT DU CSA</w:t>
      </w:r>
    </w:p>
    <w:p w14:paraId="4A006CEF" w14:textId="77777777" w:rsidR="00F86A70" w:rsidRPr="00F86A70" w:rsidRDefault="00F86A70" w:rsidP="00BD310E">
      <w:pPr>
        <w:tabs>
          <w:tab w:val="left" w:pos="1440"/>
        </w:tabs>
        <w:spacing w:before="0" w:after="0"/>
        <w:ind w:left="708"/>
        <w:rPr>
          <w:i/>
          <w:iCs/>
        </w:rPr>
      </w:pPr>
      <w:r w:rsidRPr="00F86A70">
        <w:rPr>
          <w:i/>
          <w:iCs/>
        </w:rPr>
        <w:t>Art. 3:48. § 1er. Les organes d'administration des ASBL ou AISBL autres que les petites ASBL ou AISBL rédigent un rapport dans lequel ils rendent compte de leur gestion.</w:t>
      </w:r>
    </w:p>
    <w:p w14:paraId="0D5FF14E" w14:textId="1716C792" w:rsidR="00F86A70" w:rsidRPr="00F86A70" w:rsidRDefault="00F86A70" w:rsidP="00BD310E">
      <w:pPr>
        <w:tabs>
          <w:tab w:val="left" w:pos="1440"/>
        </w:tabs>
        <w:spacing w:before="0" w:after="0"/>
        <w:ind w:left="708"/>
        <w:rPr>
          <w:i/>
          <w:iCs/>
        </w:rPr>
      </w:pPr>
      <w:r w:rsidRPr="00F86A70">
        <w:rPr>
          <w:i/>
          <w:iCs/>
        </w:rPr>
        <w:t xml:space="preserve">  § 2. Le rapport de gestion visé au paragraphe 1er comporte :</w:t>
      </w:r>
    </w:p>
    <w:p w14:paraId="34B90711" w14:textId="77777777" w:rsidR="00F86A70" w:rsidRPr="00F86A70" w:rsidRDefault="00F86A70" w:rsidP="00BD310E">
      <w:pPr>
        <w:tabs>
          <w:tab w:val="left" w:pos="1440"/>
        </w:tabs>
        <w:spacing w:before="0" w:after="0"/>
        <w:ind w:left="708"/>
        <w:rPr>
          <w:i/>
          <w:iCs/>
        </w:rPr>
      </w:pPr>
      <w:r w:rsidRPr="00F86A70">
        <w:rPr>
          <w:i/>
          <w:iCs/>
        </w:rPr>
        <w:t xml:space="preserve">  1° au moins un exposé fidèle sur l'évolution et les résultats des activités et sur la situation de l'association, ainsi qu'une description des principaux risques et incertitudes auxquels elle est confrontée. Cet exposé consiste en une analyse équilibrée et complète de l'évolution et des résultats des activités et de la situation de l'association, en rapport avec le volume et la complexité de ces activités.</w:t>
      </w:r>
    </w:p>
    <w:p w14:paraId="3950E6D3" w14:textId="77777777" w:rsidR="00F86A70" w:rsidRPr="00F86A70" w:rsidRDefault="00F86A70" w:rsidP="00BD310E">
      <w:pPr>
        <w:tabs>
          <w:tab w:val="left" w:pos="1440"/>
        </w:tabs>
        <w:spacing w:before="0" w:after="0"/>
        <w:ind w:left="708"/>
        <w:rPr>
          <w:i/>
          <w:iCs/>
        </w:rPr>
      </w:pPr>
      <w:r w:rsidRPr="00F86A70">
        <w:rPr>
          <w:i/>
          <w:iCs/>
        </w:rPr>
        <w:t xml:space="preserve">  Dans la mesure nécessaire à la compréhension de l'évolution, des résultats ou de la situation de l'association, l'analyse comporte des indicateurs clés de performance de nature tant financière que, le cas échéant, non financière ayant trait aux activités spécifiques de l'association, notamment des informations relatives aux questions d'environnement et de personnel.</w:t>
      </w:r>
    </w:p>
    <w:p w14:paraId="6FB409B6" w14:textId="024F6494" w:rsidR="00F86A70" w:rsidRPr="00F86A70" w:rsidRDefault="00F86A70" w:rsidP="00BD310E">
      <w:pPr>
        <w:tabs>
          <w:tab w:val="left" w:pos="1440"/>
        </w:tabs>
        <w:spacing w:before="0" w:after="0"/>
        <w:ind w:left="708"/>
        <w:rPr>
          <w:i/>
          <w:iCs/>
        </w:rPr>
      </w:pPr>
      <w:r w:rsidRPr="00F86A70">
        <w:rPr>
          <w:i/>
          <w:iCs/>
        </w:rPr>
        <w:t xml:space="preserve">  En donnant son analyse, le rapport de gestion contient, le cas échéant, des renvois aux montants indiqués dans les comptes annuels et des explications supplémentaires y afférentes</w:t>
      </w:r>
      <w:r>
        <w:rPr>
          <w:i/>
          <w:iCs/>
        </w:rPr>
        <w:t xml:space="preserve"> </w:t>
      </w:r>
      <w:r w:rsidRPr="00F86A70">
        <w:rPr>
          <w:i/>
          <w:iCs/>
        </w:rPr>
        <w:t>;</w:t>
      </w:r>
    </w:p>
    <w:p w14:paraId="68E57BE2" w14:textId="3AD2419B" w:rsidR="00F86A70" w:rsidRPr="00F86A70" w:rsidRDefault="00F86A70" w:rsidP="00BD310E">
      <w:pPr>
        <w:tabs>
          <w:tab w:val="left" w:pos="1440"/>
        </w:tabs>
        <w:spacing w:before="0" w:after="0"/>
        <w:ind w:left="708"/>
        <w:rPr>
          <w:i/>
          <w:iCs/>
        </w:rPr>
      </w:pPr>
      <w:r w:rsidRPr="00F86A70">
        <w:rPr>
          <w:i/>
          <w:iCs/>
        </w:rPr>
        <w:t xml:space="preserve">  2° des données sur les événements importants survenus après la clôture de l'exercice</w:t>
      </w:r>
      <w:r>
        <w:rPr>
          <w:i/>
          <w:iCs/>
        </w:rPr>
        <w:t xml:space="preserve"> </w:t>
      </w:r>
      <w:r w:rsidRPr="00F86A70">
        <w:rPr>
          <w:i/>
          <w:iCs/>
        </w:rPr>
        <w:t>;</w:t>
      </w:r>
    </w:p>
    <w:p w14:paraId="46CE752D" w14:textId="074DCB95" w:rsidR="00F86A70" w:rsidRPr="00F86A70" w:rsidRDefault="00F86A70" w:rsidP="00BD310E">
      <w:pPr>
        <w:tabs>
          <w:tab w:val="left" w:pos="1440"/>
        </w:tabs>
        <w:spacing w:before="0" w:after="0"/>
        <w:ind w:left="708"/>
        <w:rPr>
          <w:i/>
          <w:iCs/>
        </w:rPr>
      </w:pPr>
      <w:r w:rsidRPr="00F86A70">
        <w:rPr>
          <w:i/>
          <w:iCs/>
        </w:rPr>
        <w:t xml:space="preserve">  3° des indications sur les circonstances susceptibles d'avoir une influence notable sur le développement de l'association, pour autant que ces indications ne soient pas de nature à porter gravement préjudice à l'association</w:t>
      </w:r>
      <w:r>
        <w:rPr>
          <w:i/>
          <w:iCs/>
        </w:rPr>
        <w:t xml:space="preserve"> </w:t>
      </w:r>
      <w:r w:rsidRPr="00F86A70">
        <w:rPr>
          <w:i/>
          <w:iCs/>
        </w:rPr>
        <w:t>;</w:t>
      </w:r>
    </w:p>
    <w:p w14:paraId="797224A6" w14:textId="2C4C5461" w:rsidR="00F86A70" w:rsidRPr="00F86A70" w:rsidRDefault="00F86A70" w:rsidP="00BD310E">
      <w:pPr>
        <w:tabs>
          <w:tab w:val="left" w:pos="1440"/>
        </w:tabs>
        <w:spacing w:before="0" w:after="0"/>
        <w:ind w:left="708"/>
        <w:rPr>
          <w:i/>
          <w:iCs/>
        </w:rPr>
      </w:pPr>
      <w:r w:rsidRPr="00F86A70">
        <w:rPr>
          <w:i/>
          <w:iCs/>
        </w:rPr>
        <w:t xml:space="preserve">  4° des indications relatives aux activités en matière de recherche et de développement</w:t>
      </w:r>
      <w:r>
        <w:rPr>
          <w:i/>
          <w:iCs/>
        </w:rPr>
        <w:t xml:space="preserve"> </w:t>
      </w:r>
      <w:r w:rsidRPr="00F86A70">
        <w:rPr>
          <w:i/>
          <w:iCs/>
        </w:rPr>
        <w:t>;</w:t>
      </w:r>
    </w:p>
    <w:p w14:paraId="2AF4E453" w14:textId="4F8E9739" w:rsidR="00F86A70" w:rsidRPr="00F86A70" w:rsidRDefault="00F86A70" w:rsidP="00BD310E">
      <w:pPr>
        <w:tabs>
          <w:tab w:val="left" w:pos="1440"/>
        </w:tabs>
        <w:spacing w:before="0" w:after="0"/>
        <w:ind w:left="708"/>
        <w:rPr>
          <w:i/>
          <w:iCs/>
        </w:rPr>
      </w:pPr>
      <w:r w:rsidRPr="00F86A70">
        <w:rPr>
          <w:i/>
          <w:iCs/>
        </w:rPr>
        <w:t xml:space="preserve">  5° des indications relatives à l'existence de succursales de l'association</w:t>
      </w:r>
      <w:r>
        <w:rPr>
          <w:i/>
          <w:iCs/>
        </w:rPr>
        <w:t xml:space="preserve"> </w:t>
      </w:r>
      <w:r w:rsidRPr="00F86A70">
        <w:rPr>
          <w:i/>
          <w:iCs/>
        </w:rPr>
        <w:t>;</w:t>
      </w:r>
    </w:p>
    <w:p w14:paraId="0FE80CE9" w14:textId="2231120F" w:rsidR="00F86A70" w:rsidRPr="00F86A70" w:rsidRDefault="00F86A70" w:rsidP="00BD310E">
      <w:pPr>
        <w:tabs>
          <w:tab w:val="left" w:pos="1440"/>
        </w:tabs>
        <w:spacing w:before="0" w:after="0"/>
        <w:ind w:left="708"/>
        <w:rPr>
          <w:i/>
          <w:iCs/>
        </w:rPr>
      </w:pPr>
      <w:r w:rsidRPr="00F86A70">
        <w:rPr>
          <w:i/>
          <w:iCs/>
        </w:rPr>
        <w:t xml:space="preserve">  6° au cas où le bilan fait apparaître une perte reportée ou le compte de résultats fait apparaître pendant deux exercices successifs une perte de l'exercice, une justification de l'application des règles comptables de continuité</w:t>
      </w:r>
      <w:r>
        <w:rPr>
          <w:i/>
          <w:iCs/>
        </w:rPr>
        <w:t xml:space="preserve"> </w:t>
      </w:r>
      <w:r w:rsidRPr="00F86A70">
        <w:rPr>
          <w:i/>
          <w:iCs/>
        </w:rPr>
        <w:t>;</w:t>
      </w:r>
    </w:p>
    <w:p w14:paraId="5444086E" w14:textId="2F2BA7DC" w:rsidR="00F86A70" w:rsidRPr="00F86A70" w:rsidRDefault="00F86A70" w:rsidP="00BD310E">
      <w:pPr>
        <w:tabs>
          <w:tab w:val="left" w:pos="1440"/>
        </w:tabs>
        <w:spacing w:before="0" w:after="0"/>
        <w:ind w:left="708"/>
        <w:rPr>
          <w:i/>
          <w:iCs/>
        </w:rPr>
      </w:pPr>
      <w:r w:rsidRPr="00F86A70">
        <w:rPr>
          <w:i/>
          <w:iCs/>
        </w:rPr>
        <w:t xml:space="preserve">  7° en ce qui concerne l'utilisation des instruments financiers par l'association et lorsque cela est pertinent pour l'évaluation de son actif, de son passif, de sa situation financière et de son résultat</w:t>
      </w:r>
      <w:r>
        <w:rPr>
          <w:i/>
          <w:iCs/>
        </w:rPr>
        <w:t xml:space="preserve"> </w:t>
      </w:r>
      <w:r w:rsidRPr="00F86A70">
        <w:rPr>
          <w:i/>
          <w:iCs/>
        </w:rPr>
        <w:t>:</w:t>
      </w:r>
    </w:p>
    <w:p w14:paraId="5104503B" w14:textId="77777777" w:rsidR="00F86A70" w:rsidRPr="00F86A70" w:rsidRDefault="00F86A70" w:rsidP="00BD310E">
      <w:pPr>
        <w:tabs>
          <w:tab w:val="left" w:pos="1440"/>
        </w:tabs>
        <w:spacing w:before="0" w:after="0"/>
        <w:ind w:left="708"/>
        <w:rPr>
          <w:i/>
          <w:iCs/>
        </w:rPr>
      </w:pPr>
      <w:r w:rsidRPr="00F86A70">
        <w:rPr>
          <w:i/>
          <w:iCs/>
        </w:rPr>
        <w:t xml:space="preserve">  a) les objectifs et la politique de l'association en matière de gestion des risques financiers, y compris sa politique concernant la couverture de chaque catégorie principale des transactions prévues pour lesquelles il est fait usage de la comptabilité de couverture, et</w:t>
      </w:r>
    </w:p>
    <w:p w14:paraId="3E21F941" w14:textId="2D86D355" w:rsidR="00F86A70" w:rsidRPr="00F86A70" w:rsidRDefault="00F86A70" w:rsidP="00BD310E">
      <w:pPr>
        <w:tabs>
          <w:tab w:val="left" w:pos="1440"/>
        </w:tabs>
        <w:spacing w:before="0" w:after="0"/>
        <w:ind w:left="708"/>
        <w:rPr>
          <w:i/>
          <w:iCs/>
        </w:rPr>
      </w:pPr>
      <w:r w:rsidRPr="00F86A70">
        <w:rPr>
          <w:i/>
          <w:iCs/>
        </w:rPr>
        <w:t xml:space="preserve">  b) l'exposition de l'association au risque de prix, au risque de crédit, au risque de liquidité et au risque de trésorerie.</w:t>
      </w:r>
    </w:p>
    <w:p w14:paraId="66E6E267" w14:textId="77777777" w:rsidR="00BD310E" w:rsidRDefault="00BD310E" w:rsidP="00BD310E">
      <w:pPr>
        <w:tabs>
          <w:tab w:val="left" w:pos="1440"/>
        </w:tabs>
        <w:spacing w:before="0" w:after="0"/>
        <w:ind w:left="708"/>
      </w:pPr>
      <w:r>
        <w:t xml:space="preserve"> </w:t>
      </w:r>
    </w:p>
    <w:p w14:paraId="4AE04444" w14:textId="266AFBF0" w:rsidR="00BD310E" w:rsidRDefault="00BD310E" w:rsidP="00BD310E">
      <w:pPr>
        <w:tabs>
          <w:tab w:val="left" w:pos="1440"/>
        </w:tabs>
        <w:spacing w:before="0" w:after="0"/>
        <w:ind w:left="708"/>
      </w:pPr>
      <w:r>
        <w:t xml:space="preserve"> Art. 3:52. L'organe d'administration des fondations autres que les petites fondations rédige un rapport dans lequel il rend compte de sa gestion.</w:t>
      </w:r>
    </w:p>
    <w:p w14:paraId="6E184420" w14:textId="1539E646" w:rsidR="00F86A70" w:rsidRDefault="00BD310E" w:rsidP="00BD310E">
      <w:pPr>
        <w:tabs>
          <w:tab w:val="left" w:pos="1440"/>
        </w:tabs>
        <w:spacing w:before="0" w:after="0"/>
        <w:ind w:left="708"/>
      </w:pPr>
      <w:r>
        <w:t xml:space="preserve">  Ce rapport comporte au moins les indications visées à l'article 3:48, § 2.</w:t>
      </w:r>
    </w:p>
    <w:p w14:paraId="0C604EA3" w14:textId="5F7EDA64" w:rsidR="002C3DE2" w:rsidRDefault="002C3DE2" w:rsidP="005A2E29">
      <w:pPr>
        <w:tabs>
          <w:tab w:val="left" w:pos="1440"/>
        </w:tabs>
      </w:pPr>
    </w:p>
    <w:sectPr w:rsidR="002C3DE2" w:rsidSect="0069394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68F7B" w14:textId="77777777" w:rsidR="000567AF" w:rsidRDefault="000567AF">
      <w:pPr>
        <w:spacing w:before="0" w:after="0"/>
      </w:pPr>
      <w:r>
        <w:separator/>
      </w:r>
    </w:p>
  </w:endnote>
  <w:endnote w:type="continuationSeparator" w:id="0">
    <w:p w14:paraId="41E46B14" w14:textId="77777777" w:rsidR="000567AF" w:rsidRDefault="00056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335A" w14:textId="77777777" w:rsidR="004F7182" w:rsidRDefault="00BF2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3E015" w14:textId="77777777" w:rsidR="004F7182" w:rsidRDefault="003426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BB80" w14:textId="77777777" w:rsidR="000567AF" w:rsidRDefault="000567AF">
      <w:pPr>
        <w:spacing w:before="0" w:after="0"/>
      </w:pPr>
      <w:r>
        <w:separator/>
      </w:r>
    </w:p>
  </w:footnote>
  <w:footnote w:type="continuationSeparator" w:id="0">
    <w:p w14:paraId="14D2D556" w14:textId="77777777" w:rsidR="000567AF" w:rsidRDefault="000567AF">
      <w:pPr>
        <w:spacing w:before="0" w:after="0"/>
      </w:pPr>
      <w:r>
        <w:continuationSeparator/>
      </w:r>
    </w:p>
  </w:footnote>
  <w:footnote w:id="1">
    <w:p w14:paraId="48F4A59F" w14:textId="5B764B12" w:rsidR="00024ADF" w:rsidRPr="00556138" w:rsidRDefault="00024ADF">
      <w:pPr>
        <w:pStyle w:val="FootnoteText"/>
        <w:rPr>
          <w:lang w:val="fr-BE"/>
        </w:rPr>
      </w:pPr>
      <w:r>
        <w:rPr>
          <w:rStyle w:val="FootnoteReference"/>
        </w:rPr>
        <w:footnoteRef/>
      </w:r>
      <w:r>
        <w:t xml:space="preserve"> </w:t>
      </w:r>
      <w:r>
        <w:rPr>
          <w:bCs/>
        </w:rPr>
        <w:t>P</w:t>
      </w:r>
      <w:r w:rsidRPr="00BD310E">
        <w:rPr>
          <w:bCs/>
        </w:rPr>
        <w:t>our les grandes fondations, soumises à la même obligation d’un rapport de gestion, la référence est l’article 3:52 du CSA</w:t>
      </w:r>
      <w:r>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2F0F" w14:textId="77777777" w:rsidR="009C603E" w:rsidRPr="003F75D1" w:rsidRDefault="002A5F47" w:rsidP="001E093C">
    <w:pPr>
      <w:pStyle w:val="Header"/>
      <w:spacing w:before="0" w:after="0"/>
      <w:jc w:val="center"/>
      <w:rPr>
        <w:rFonts w:asciiTheme="minorHAnsi" w:hAnsiTheme="minorHAnsi"/>
        <w:b/>
        <w:lang w:val="en-US"/>
      </w:rPr>
    </w:pPr>
    <w:bookmarkStart w:id="5" w:name="_Hlk509823933"/>
    <w:r w:rsidRPr="003F75D1">
      <w:rPr>
        <w:rFonts w:asciiTheme="minorHAnsi" w:hAnsiTheme="minorHAnsi"/>
        <w:b/>
        <w:lang w:val="en-US"/>
      </w:rPr>
      <w:t>ASBL</w:t>
    </w:r>
  </w:p>
  <w:p w14:paraId="1AE2212A" w14:textId="77777777" w:rsidR="00A337BA" w:rsidRPr="003F75D1" w:rsidRDefault="00A337BA" w:rsidP="001E093C">
    <w:pPr>
      <w:pStyle w:val="Header"/>
      <w:spacing w:before="0" w:after="0"/>
      <w:jc w:val="center"/>
      <w:rPr>
        <w:rFonts w:asciiTheme="minorHAnsi" w:hAnsiTheme="minorHAnsi"/>
        <w:b/>
        <w:lang w:val="en-US"/>
      </w:rPr>
    </w:pPr>
    <w:r w:rsidRPr="003F75D1">
      <w:rPr>
        <w:rFonts w:asciiTheme="minorHAnsi" w:hAnsiTheme="minorHAnsi"/>
        <w:b/>
        <w:lang w:val="en-US"/>
      </w:rPr>
      <w:t>R.P.M. [xxx]</w:t>
    </w:r>
  </w:p>
  <w:p w14:paraId="701F07CB" w14:textId="77777777" w:rsidR="009C603E" w:rsidRPr="00461E24" w:rsidRDefault="00BF211D" w:rsidP="001E093C">
    <w:pPr>
      <w:pStyle w:val="Header"/>
      <w:spacing w:before="0" w:after="0"/>
      <w:jc w:val="center"/>
      <w:rPr>
        <w:rFonts w:asciiTheme="minorHAnsi" w:hAnsiTheme="minorHAnsi"/>
        <w:lang w:val="fr-BE"/>
      </w:rPr>
    </w:pPr>
    <w:r w:rsidRPr="00461E24">
      <w:rPr>
        <w:rFonts w:asciiTheme="minorHAnsi" w:hAnsiTheme="minorHAnsi"/>
        <w:lang w:val="fr-BE"/>
      </w:rPr>
      <w:t>Adresse</w:t>
    </w:r>
  </w:p>
  <w:p w14:paraId="717AF825" w14:textId="208D1774" w:rsidR="009C603E" w:rsidRDefault="00BF211D" w:rsidP="001E093C">
    <w:pPr>
      <w:pStyle w:val="Header"/>
      <w:spacing w:before="0" w:after="0"/>
      <w:jc w:val="center"/>
      <w:rPr>
        <w:rFonts w:asciiTheme="minorHAnsi" w:hAnsiTheme="minorHAnsi"/>
        <w:lang w:val="fr-BE"/>
      </w:rPr>
    </w:pPr>
    <w:r w:rsidRPr="00461E24">
      <w:rPr>
        <w:rFonts w:asciiTheme="minorHAnsi" w:hAnsiTheme="minorHAnsi"/>
        <w:lang w:val="fr-BE"/>
      </w:rPr>
      <w:t>CP L</w:t>
    </w:r>
    <w:r w:rsidR="00B55F6C" w:rsidRPr="00461E24">
      <w:rPr>
        <w:rFonts w:asciiTheme="minorHAnsi" w:hAnsiTheme="minorHAnsi"/>
        <w:lang w:val="fr-BE"/>
      </w:rPr>
      <w:t>ocalité</w:t>
    </w:r>
  </w:p>
  <w:bookmarkEnd w:id="5"/>
  <w:p w14:paraId="158E97F5" w14:textId="77777777" w:rsidR="005728A2" w:rsidRDefault="005728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B8D"/>
    <w:multiLevelType w:val="hybridMultilevel"/>
    <w:tmpl w:val="196C8ABC"/>
    <w:name w:val="Perso3222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2176BA9"/>
    <w:multiLevelType w:val="multilevel"/>
    <w:tmpl w:val="040C001D"/>
    <w:name w:val="Perso3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72575D"/>
    <w:multiLevelType w:val="hybridMultilevel"/>
    <w:tmpl w:val="E95AB3C0"/>
    <w:lvl w:ilvl="0" w:tplc="D5CEE78C">
      <w:numFmt w:val="bullet"/>
      <w:lvlText w:val="-"/>
      <w:lvlJc w:val="left"/>
      <w:pPr>
        <w:ind w:left="1854" w:hanging="360"/>
      </w:pPr>
      <w:rPr>
        <w:rFonts w:ascii="Calibri" w:eastAsia="Times New Roman" w:hAnsi="Calibri" w:cs="Calibri"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3" w15:restartNumberingAfterBreak="0">
    <w:nsid w:val="0A4A682E"/>
    <w:multiLevelType w:val="multilevel"/>
    <w:tmpl w:val="040C001D"/>
    <w:name w:val="Perso322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C4312B"/>
    <w:multiLevelType w:val="multilevel"/>
    <w:tmpl w:val="CED693F8"/>
    <w:name w:val="Sophie"/>
    <w:lvl w:ilvl="0">
      <w:start w:val="1"/>
      <w:numFmt w:val="decimal"/>
      <w:lvlText w:val="%1."/>
      <w:lvlJc w:val="left"/>
      <w:pPr>
        <w:ind w:left="1418" w:hanging="1418"/>
      </w:pPr>
      <w:rPr>
        <w:rFonts w:ascii="Calibri" w:hAnsi="Calibri" w:hint="default"/>
        <w:b/>
        <w:i w:val="0"/>
        <w:sz w:val="28"/>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418" w:hanging="1418"/>
      </w:pPr>
      <w:rPr>
        <w:rFonts w:hint="default"/>
      </w:rPr>
    </w:lvl>
  </w:abstractNum>
  <w:abstractNum w:abstractNumId="5" w15:restartNumberingAfterBreak="0">
    <w:nsid w:val="0F9C1351"/>
    <w:multiLevelType w:val="hybridMultilevel"/>
    <w:tmpl w:val="4F9813F4"/>
    <w:lvl w:ilvl="0" w:tplc="080C0015">
      <w:start w:val="1"/>
      <w:numFmt w:val="upperLetter"/>
      <w:lvlText w:val="%1."/>
      <w:lvlJc w:val="left"/>
      <w:pPr>
        <w:ind w:left="1210" w:hanging="360"/>
      </w:pPr>
    </w:lvl>
    <w:lvl w:ilvl="1" w:tplc="080C0019" w:tentative="1">
      <w:start w:val="1"/>
      <w:numFmt w:val="lowerLetter"/>
      <w:lvlText w:val="%2."/>
      <w:lvlJc w:val="left"/>
      <w:pPr>
        <w:ind w:left="1930" w:hanging="360"/>
      </w:pPr>
    </w:lvl>
    <w:lvl w:ilvl="2" w:tplc="080C001B" w:tentative="1">
      <w:start w:val="1"/>
      <w:numFmt w:val="lowerRoman"/>
      <w:lvlText w:val="%3."/>
      <w:lvlJc w:val="right"/>
      <w:pPr>
        <w:ind w:left="2650" w:hanging="180"/>
      </w:pPr>
    </w:lvl>
    <w:lvl w:ilvl="3" w:tplc="080C000F" w:tentative="1">
      <w:start w:val="1"/>
      <w:numFmt w:val="decimal"/>
      <w:lvlText w:val="%4."/>
      <w:lvlJc w:val="left"/>
      <w:pPr>
        <w:ind w:left="3370" w:hanging="360"/>
      </w:pPr>
    </w:lvl>
    <w:lvl w:ilvl="4" w:tplc="080C0019" w:tentative="1">
      <w:start w:val="1"/>
      <w:numFmt w:val="lowerLetter"/>
      <w:lvlText w:val="%5."/>
      <w:lvlJc w:val="left"/>
      <w:pPr>
        <w:ind w:left="4090" w:hanging="360"/>
      </w:pPr>
    </w:lvl>
    <w:lvl w:ilvl="5" w:tplc="080C001B" w:tentative="1">
      <w:start w:val="1"/>
      <w:numFmt w:val="lowerRoman"/>
      <w:lvlText w:val="%6."/>
      <w:lvlJc w:val="right"/>
      <w:pPr>
        <w:ind w:left="4810" w:hanging="180"/>
      </w:pPr>
    </w:lvl>
    <w:lvl w:ilvl="6" w:tplc="080C000F" w:tentative="1">
      <w:start w:val="1"/>
      <w:numFmt w:val="decimal"/>
      <w:lvlText w:val="%7."/>
      <w:lvlJc w:val="left"/>
      <w:pPr>
        <w:ind w:left="5530" w:hanging="360"/>
      </w:pPr>
    </w:lvl>
    <w:lvl w:ilvl="7" w:tplc="080C0019" w:tentative="1">
      <w:start w:val="1"/>
      <w:numFmt w:val="lowerLetter"/>
      <w:lvlText w:val="%8."/>
      <w:lvlJc w:val="left"/>
      <w:pPr>
        <w:ind w:left="6250" w:hanging="360"/>
      </w:pPr>
    </w:lvl>
    <w:lvl w:ilvl="8" w:tplc="080C001B" w:tentative="1">
      <w:start w:val="1"/>
      <w:numFmt w:val="lowerRoman"/>
      <w:lvlText w:val="%9."/>
      <w:lvlJc w:val="right"/>
      <w:pPr>
        <w:ind w:left="6970" w:hanging="180"/>
      </w:pPr>
    </w:lvl>
  </w:abstractNum>
  <w:abstractNum w:abstractNumId="6" w15:restartNumberingAfterBreak="0">
    <w:nsid w:val="10DF636A"/>
    <w:multiLevelType w:val="hybridMultilevel"/>
    <w:tmpl w:val="5B52C5E0"/>
    <w:lvl w:ilvl="0" w:tplc="D5CEE78C">
      <w:numFmt w:val="bullet"/>
      <w:lvlText w:val="-"/>
      <w:lvlJc w:val="left"/>
      <w:pPr>
        <w:ind w:left="1854" w:hanging="360"/>
      </w:pPr>
      <w:rPr>
        <w:rFonts w:ascii="Calibri" w:eastAsia="Times New Roman" w:hAnsi="Calibri" w:cs="Calibri"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7" w15:restartNumberingAfterBreak="0">
    <w:nsid w:val="157D17ED"/>
    <w:multiLevelType w:val="hybridMultilevel"/>
    <w:tmpl w:val="1B5E6FA6"/>
    <w:lvl w:ilvl="0" w:tplc="32123EA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3E4DC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7A26B6"/>
    <w:multiLevelType w:val="hybridMultilevel"/>
    <w:tmpl w:val="A61C2D46"/>
    <w:name w:val="Perso322252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24CB3D5E"/>
    <w:multiLevelType w:val="multilevel"/>
    <w:tmpl w:val="040C001D"/>
    <w:name w:val="Perso322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6B075F"/>
    <w:multiLevelType w:val="hybridMultilevel"/>
    <w:tmpl w:val="E87A5610"/>
    <w:lvl w:ilvl="0" w:tplc="237253C4">
      <w:start w:val="1"/>
      <w:numFmt w:val="decimal"/>
      <w:pStyle w:val="SR-Titre1"/>
      <w:lvlText w:val="%1."/>
      <w:lvlJc w:val="left"/>
      <w:pPr>
        <w:ind w:left="2214" w:hanging="360"/>
      </w:pPr>
    </w:lvl>
    <w:lvl w:ilvl="1" w:tplc="20000019" w:tentative="1">
      <w:start w:val="1"/>
      <w:numFmt w:val="lowerLetter"/>
      <w:lvlText w:val="%2."/>
      <w:lvlJc w:val="left"/>
      <w:pPr>
        <w:ind w:left="2934" w:hanging="360"/>
      </w:pPr>
    </w:lvl>
    <w:lvl w:ilvl="2" w:tplc="2000001B" w:tentative="1">
      <w:start w:val="1"/>
      <w:numFmt w:val="lowerRoman"/>
      <w:lvlText w:val="%3."/>
      <w:lvlJc w:val="right"/>
      <w:pPr>
        <w:ind w:left="3654" w:hanging="180"/>
      </w:pPr>
    </w:lvl>
    <w:lvl w:ilvl="3" w:tplc="2000000F" w:tentative="1">
      <w:start w:val="1"/>
      <w:numFmt w:val="decimal"/>
      <w:lvlText w:val="%4."/>
      <w:lvlJc w:val="left"/>
      <w:pPr>
        <w:ind w:left="4374" w:hanging="360"/>
      </w:pPr>
    </w:lvl>
    <w:lvl w:ilvl="4" w:tplc="20000019" w:tentative="1">
      <w:start w:val="1"/>
      <w:numFmt w:val="lowerLetter"/>
      <w:lvlText w:val="%5."/>
      <w:lvlJc w:val="left"/>
      <w:pPr>
        <w:ind w:left="5094" w:hanging="360"/>
      </w:pPr>
    </w:lvl>
    <w:lvl w:ilvl="5" w:tplc="2000001B" w:tentative="1">
      <w:start w:val="1"/>
      <w:numFmt w:val="lowerRoman"/>
      <w:lvlText w:val="%6."/>
      <w:lvlJc w:val="right"/>
      <w:pPr>
        <w:ind w:left="5814" w:hanging="180"/>
      </w:pPr>
    </w:lvl>
    <w:lvl w:ilvl="6" w:tplc="2000000F" w:tentative="1">
      <w:start w:val="1"/>
      <w:numFmt w:val="decimal"/>
      <w:lvlText w:val="%7."/>
      <w:lvlJc w:val="left"/>
      <w:pPr>
        <w:ind w:left="6534" w:hanging="360"/>
      </w:pPr>
    </w:lvl>
    <w:lvl w:ilvl="7" w:tplc="20000019" w:tentative="1">
      <w:start w:val="1"/>
      <w:numFmt w:val="lowerLetter"/>
      <w:lvlText w:val="%8."/>
      <w:lvlJc w:val="left"/>
      <w:pPr>
        <w:ind w:left="7254" w:hanging="360"/>
      </w:pPr>
    </w:lvl>
    <w:lvl w:ilvl="8" w:tplc="2000001B" w:tentative="1">
      <w:start w:val="1"/>
      <w:numFmt w:val="lowerRoman"/>
      <w:lvlText w:val="%9."/>
      <w:lvlJc w:val="right"/>
      <w:pPr>
        <w:ind w:left="7974" w:hanging="180"/>
      </w:pPr>
    </w:lvl>
  </w:abstractNum>
  <w:abstractNum w:abstractNumId="12" w15:restartNumberingAfterBreak="0">
    <w:nsid w:val="283D6D1B"/>
    <w:multiLevelType w:val="hybridMultilevel"/>
    <w:tmpl w:val="A686D7DA"/>
    <w:lvl w:ilvl="0" w:tplc="D5CEE78C">
      <w:numFmt w:val="bullet"/>
      <w:lvlText w:val="-"/>
      <w:lvlJc w:val="left"/>
      <w:pPr>
        <w:ind w:left="1494" w:hanging="360"/>
      </w:pPr>
      <w:rPr>
        <w:rFonts w:ascii="Calibri" w:eastAsia="Times New Roman" w:hAnsi="Calibri" w:cs="Calibri"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3" w15:restartNumberingAfterBreak="0">
    <w:nsid w:val="28DA6497"/>
    <w:multiLevelType w:val="multilevel"/>
    <w:tmpl w:val="040C001D"/>
    <w:name w:val="Perso322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B17C61"/>
    <w:multiLevelType w:val="multilevel"/>
    <w:tmpl w:val="040C001D"/>
    <w:name w:val="Perso3222"/>
    <w:styleLink w:val="PVAG-Partie1"/>
    <w:lvl w:ilvl="0">
      <w:start w:val="1"/>
      <w:numFmt w:val="none"/>
      <w:lvlText w:val="%1"/>
      <w:lvlJc w:val="left"/>
      <w:pPr>
        <w:ind w:left="360" w:hanging="360"/>
      </w:pPr>
      <w:rPr>
        <w:rFonts w:ascii="Times New Roman" w:hAnsi="Times New Roman" w:hint="default"/>
        <w:b/>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085F3C"/>
    <w:multiLevelType w:val="multilevel"/>
    <w:tmpl w:val="040C001F"/>
    <w:name w:val="Sophie"/>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1E7632"/>
    <w:multiLevelType w:val="hybridMultilevel"/>
    <w:tmpl w:val="50007398"/>
    <w:lvl w:ilvl="0" w:tplc="080C0015">
      <w:start w:val="1"/>
      <w:numFmt w:val="upperLetter"/>
      <w:lvlText w:val="%1."/>
      <w:lvlJc w:val="left"/>
      <w:pPr>
        <w:ind w:left="3600" w:hanging="360"/>
      </w:pPr>
    </w:lvl>
    <w:lvl w:ilvl="1" w:tplc="080C0019" w:tentative="1">
      <w:start w:val="1"/>
      <w:numFmt w:val="lowerLetter"/>
      <w:lvlText w:val="%2."/>
      <w:lvlJc w:val="left"/>
      <w:pPr>
        <w:ind w:left="4320" w:hanging="360"/>
      </w:pPr>
    </w:lvl>
    <w:lvl w:ilvl="2" w:tplc="080C001B" w:tentative="1">
      <w:start w:val="1"/>
      <w:numFmt w:val="lowerRoman"/>
      <w:lvlText w:val="%3."/>
      <w:lvlJc w:val="right"/>
      <w:pPr>
        <w:ind w:left="5040" w:hanging="180"/>
      </w:pPr>
    </w:lvl>
    <w:lvl w:ilvl="3" w:tplc="080C000F" w:tentative="1">
      <w:start w:val="1"/>
      <w:numFmt w:val="decimal"/>
      <w:lvlText w:val="%4."/>
      <w:lvlJc w:val="left"/>
      <w:pPr>
        <w:ind w:left="5760" w:hanging="360"/>
      </w:pPr>
    </w:lvl>
    <w:lvl w:ilvl="4" w:tplc="080C0019" w:tentative="1">
      <w:start w:val="1"/>
      <w:numFmt w:val="lowerLetter"/>
      <w:lvlText w:val="%5."/>
      <w:lvlJc w:val="left"/>
      <w:pPr>
        <w:ind w:left="6480" w:hanging="360"/>
      </w:pPr>
    </w:lvl>
    <w:lvl w:ilvl="5" w:tplc="080C001B" w:tentative="1">
      <w:start w:val="1"/>
      <w:numFmt w:val="lowerRoman"/>
      <w:lvlText w:val="%6."/>
      <w:lvlJc w:val="right"/>
      <w:pPr>
        <w:ind w:left="7200" w:hanging="180"/>
      </w:pPr>
    </w:lvl>
    <w:lvl w:ilvl="6" w:tplc="080C000F" w:tentative="1">
      <w:start w:val="1"/>
      <w:numFmt w:val="decimal"/>
      <w:lvlText w:val="%7."/>
      <w:lvlJc w:val="left"/>
      <w:pPr>
        <w:ind w:left="7920" w:hanging="360"/>
      </w:pPr>
    </w:lvl>
    <w:lvl w:ilvl="7" w:tplc="080C0019" w:tentative="1">
      <w:start w:val="1"/>
      <w:numFmt w:val="lowerLetter"/>
      <w:lvlText w:val="%8."/>
      <w:lvlJc w:val="left"/>
      <w:pPr>
        <w:ind w:left="8640" w:hanging="360"/>
      </w:pPr>
    </w:lvl>
    <w:lvl w:ilvl="8" w:tplc="080C001B" w:tentative="1">
      <w:start w:val="1"/>
      <w:numFmt w:val="lowerRoman"/>
      <w:lvlText w:val="%9."/>
      <w:lvlJc w:val="right"/>
      <w:pPr>
        <w:ind w:left="9360" w:hanging="180"/>
      </w:pPr>
    </w:lvl>
  </w:abstractNum>
  <w:abstractNum w:abstractNumId="17" w15:restartNumberingAfterBreak="0">
    <w:nsid w:val="3C956DDC"/>
    <w:multiLevelType w:val="hybridMultilevel"/>
    <w:tmpl w:val="7FDA5366"/>
    <w:lvl w:ilvl="0" w:tplc="FE628F78">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8" w15:restartNumberingAfterBreak="0">
    <w:nsid w:val="3DC84F90"/>
    <w:multiLevelType w:val="hybridMultilevel"/>
    <w:tmpl w:val="26D4103E"/>
    <w:lvl w:ilvl="0" w:tplc="080C0015">
      <w:start w:val="1"/>
      <w:numFmt w:val="upp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9" w15:restartNumberingAfterBreak="0">
    <w:nsid w:val="3DE77BDE"/>
    <w:multiLevelType w:val="multilevel"/>
    <w:tmpl w:val="37067194"/>
    <w:name w:val="Bis"/>
    <w:styleLink w:val="Bis"/>
    <w:lvl w:ilvl="0">
      <w:start w:val="1"/>
      <w:numFmt w:val="upperRoman"/>
      <w:lvlText w:val="%1."/>
      <w:lvlJc w:val="left"/>
      <w:pPr>
        <w:ind w:left="1985" w:hanging="1134"/>
      </w:pPr>
      <w:rPr>
        <w:rFonts w:ascii="Calibri" w:hAnsi="Calibri" w:hint="default"/>
        <w:sz w:val="22"/>
      </w:rPr>
    </w:lvl>
    <w:lvl w:ilvl="1">
      <w:start w:val="1"/>
      <w:numFmt w:val="upperRoman"/>
      <w:lvlText w:val="%2.Bis"/>
      <w:lvlJc w:val="left"/>
      <w:pPr>
        <w:ind w:left="1985" w:hanging="1134"/>
      </w:pPr>
      <w:rPr>
        <w:rFonts w:hint="default"/>
      </w:rPr>
    </w:lvl>
    <w:lvl w:ilvl="2">
      <w:start w:val="1"/>
      <w:numFmt w:val="lowerRoman"/>
      <w:lvlText w:val="%3."/>
      <w:lvlJc w:val="right"/>
      <w:pPr>
        <w:ind w:left="1985" w:hanging="1134"/>
      </w:pPr>
      <w:rPr>
        <w:rFonts w:hint="default"/>
      </w:rPr>
    </w:lvl>
    <w:lvl w:ilvl="3">
      <w:start w:val="1"/>
      <w:numFmt w:val="decimal"/>
      <w:lvlText w:val="%4."/>
      <w:lvlJc w:val="left"/>
      <w:pPr>
        <w:ind w:left="1985" w:hanging="1134"/>
      </w:pPr>
      <w:rPr>
        <w:rFonts w:hint="default"/>
      </w:rPr>
    </w:lvl>
    <w:lvl w:ilvl="4">
      <w:start w:val="1"/>
      <w:numFmt w:val="lowerLetter"/>
      <w:lvlText w:val="%5."/>
      <w:lvlJc w:val="left"/>
      <w:pPr>
        <w:ind w:left="1985" w:hanging="1134"/>
      </w:pPr>
      <w:rPr>
        <w:rFonts w:hint="default"/>
      </w:rPr>
    </w:lvl>
    <w:lvl w:ilvl="5">
      <w:start w:val="1"/>
      <w:numFmt w:val="lowerRoman"/>
      <w:lvlText w:val="%6."/>
      <w:lvlJc w:val="right"/>
      <w:pPr>
        <w:ind w:left="1985" w:hanging="1134"/>
      </w:pPr>
      <w:rPr>
        <w:rFonts w:hint="default"/>
      </w:rPr>
    </w:lvl>
    <w:lvl w:ilvl="6">
      <w:start w:val="1"/>
      <w:numFmt w:val="decimal"/>
      <w:lvlText w:val="%7."/>
      <w:lvlJc w:val="left"/>
      <w:pPr>
        <w:ind w:left="1985" w:hanging="1134"/>
      </w:pPr>
      <w:rPr>
        <w:rFonts w:hint="default"/>
      </w:rPr>
    </w:lvl>
    <w:lvl w:ilvl="7">
      <w:start w:val="1"/>
      <w:numFmt w:val="lowerLetter"/>
      <w:lvlText w:val="%8."/>
      <w:lvlJc w:val="left"/>
      <w:pPr>
        <w:ind w:left="1985" w:hanging="1134"/>
      </w:pPr>
      <w:rPr>
        <w:rFonts w:hint="default"/>
      </w:rPr>
    </w:lvl>
    <w:lvl w:ilvl="8">
      <w:start w:val="1"/>
      <w:numFmt w:val="lowerRoman"/>
      <w:lvlText w:val="%9."/>
      <w:lvlJc w:val="right"/>
      <w:pPr>
        <w:ind w:left="1985" w:hanging="1134"/>
      </w:pPr>
      <w:rPr>
        <w:rFonts w:hint="default"/>
      </w:rPr>
    </w:lvl>
  </w:abstractNum>
  <w:abstractNum w:abstractNumId="20" w15:restartNumberingAfterBreak="0">
    <w:nsid w:val="3EFE46A0"/>
    <w:multiLevelType w:val="hybridMultilevel"/>
    <w:tmpl w:val="B34A94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0CF7CAE"/>
    <w:multiLevelType w:val="multilevel"/>
    <w:tmpl w:val="040C001D"/>
    <w:name w:val="Perso3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987F03"/>
    <w:multiLevelType w:val="multilevel"/>
    <w:tmpl w:val="8C2048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C842155"/>
    <w:multiLevelType w:val="hybridMultilevel"/>
    <w:tmpl w:val="C30A095C"/>
    <w:lvl w:ilvl="0" w:tplc="597C5984">
      <w:start w:val="1"/>
      <w:numFmt w:val="decimal"/>
      <w:lvlText w:val="1.%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24" w15:restartNumberingAfterBreak="0">
    <w:nsid w:val="4FA64D4C"/>
    <w:multiLevelType w:val="hybridMultilevel"/>
    <w:tmpl w:val="26D4103E"/>
    <w:lvl w:ilvl="0" w:tplc="080C0015">
      <w:start w:val="1"/>
      <w:numFmt w:val="upp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5" w15:restartNumberingAfterBreak="0">
    <w:nsid w:val="5D794662"/>
    <w:multiLevelType w:val="multilevel"/>
    <w:tmpl w:val="63505C18"/>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lang w:val="fr-FR"/>
      </w:rPr>
    </w:lvl>
    <w:lvl w:ilvl="2">
      <w:start w:val="1"/>
      <w:numFmt w:val="decimal"/>
      <w:pStyle w:val="SR-Titre3"/>
      <w:lvlText w:val="%1.%2.%3"/>
      <w:lvlJc w:val="left"/>
      <w:pPr>
        <w:ind w:left="1701" w:hanging="1701"/>
      </w:pPr>
      <w:rPr>
        <w:rFonts w:hint="default"/>
      </w:rPr>
    </w:lvl>
    <w:lvl w:ilvl="3">
      <w:start w:val="1"/>
      <w:numFmt w:val="decimal"/>
      <w:pStyle w:val="SR-Titre4"/>
      <w:lvlText w:val="%1.%2.%3.%4"/>
      <w:lvlJc w:val="left"/>
      <w:pPr>
        <w:ind w:left="1701" w:hanging="1701"/>
      </w:pPr>
      <w:rPr>
        <w:rFonts w:hint="default"/>
      </w:rPr>
    </w:lvl>
    <w:lvl w:ilvl="4">
      <w:start w:val="1"/>
      <w:numFmt w:val="decimal"/>
      <w:pStyle w:val="SR-Titre5"/>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6" w15:restartNumberingAfterBreak="0">
    <w:nsid w:val="62D728ED"/>
    <w:multiLevelType w:val="hybridMultilevel"/>
    <w:tmpl w:val="7DEA0386"/>
    <w:name w:val="Perso322252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680A1F76"/>
    <w:multiLevelType w:val="hybridMultilevel"/>
    <w:tmpl w:val="4246F0C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3E6137F"/>
    <w:multiLevelType w:val="multilevel"/>
    <w:tmpl w:val="32F2F184"/>
    <w:name w:val="Perso32222"/>
    <w:styleLink w:val="PVAG-Titre1"/>
    <w:lvl w:ilvl="0">
      <w:start w:val="1"/>
      <w:numFmt w:val="decimal"/>
      <w:lvlText w:val="%1."/>
      <w:lvlJc w:val="left"/>
      <w:pPr>
        <w:ind w:left="1134" w:hanging="1134"/>
      </w:pPr>
      <w:rPr>
        <w:rFonts w:ascii="Calibri" w:hAnsi="Calibr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6D5D5C"/>
    <w:multiLevelType w:val="hybridMultilevel"/>
    <w:tmpl w:val="AA28758C"/>
    <w:lvl w:ilvl="0" w:tplc="080C0015">
      <w:start w:val="1"/>
      <w:numFmt w:val="upperLetter"/>
      <w:lvlText w:val="%1."/>
      <w:lvlJc w:val="left"/>
      <w:pPr>
        <w:ind w:left="3600" w:hanging="360"/>
      </w:pPr>
    </w:lvl>
    <w:lvl w:ilvl="1" w:tplc="080C0019" w:tentative="1">
      <w:start w:val="1"/>
      <w:numFmt w:val="lowerLetter"/>
      <w:lvlText w:val="%2."/>
      <w:lvlJc w:val="left"/>
      <w:pPr>
        <w:ind w:left="4320" w:hanging="360"/>
      </w:pPr>
    </w:lvl>
    <w:lvl w:ilvl="2" w:tplc="080C001B" w:tentative="1">
      <w:start w:val="1"/>
      <w:numFmt w:val="lowerRoman"/>
      <w:lvlText w:val="%3."/>
      <w:lvlJc w:val="right"/>
      <w:pPr>
        <w:ind w:left="5040" w:hanging="180"/>
      </w:pPr>
    </w:lvl>
    <w:lvl w:ilvl="3" w:tplc="080C000F" w:tentative="1">
      <w:start w:val="1"/>
      <w:numFmt w:val="decimal"/>
      <w:lvlText w:val="%4."/>
      <w:lvlJc w:val="left"/>
      <w:pPr>
        <w:ind w:left="5760" w:hanging="360"/>
      </w:pPr>
    </w:lvl>
    <w:lvl w:ilvl="4" w:tplc="080C0019" w:tentative="1">
      <w:start w:val="1"/>
      <w:numFmt w:val="lowerLetter"/>
      <w:lvlText w:val="%5."/>
      <w:lvlJc w:val="left"/>
      <w:pPr>
        <w:ind w:left="6480" w:hanging="360"/>
      </w:pPr>
    </w:lvl>
    <w:lvl w:ilvl="5" w:tplc="080C001B" w:tentative="1">
      <w:start w:val="1"/>
      <w:numFmt w:val="lowerRoman"/>
      <w:lvlText w:val="%6."/>
      <w:lvlJc w:val="right"/>
      <w:pPr>
        <w:ind w:left="7200" w:hanging="180"/>
      </w:pPr>
    </w:lvl>
    <w:lvl w:ilvl="6" w:tplc="080C000F" w:tentative="1">
      <w:start w:val="1"/>
      <w:numFmt w:val="decimal"/>
      <w:lvlText w:val="%7."/>
      <w:lvlJc w:val="left"/>
      <w:pPr>
        <w:ind w:left="7920" w:hanging="360"/>
      </w:pPr>
    </w:lvl>
    <w:lvl w:ilvl="7" w:tplc="080C0019" w:tentative="1">
      <w:start w:val="1"/>
      <w:numFmt w:val="lowerLetter"/>
      <w:lvlText w:val="%8."/>
      <w:lvlJc w:val="left"/>
      <w:pPr>
        <w:ind w:left="8640" w:hanging="360"/>
      </w:pPr>
    </w:lvl>
    <w:lvl w:ilvl="8" w:tplc="080C001B" w:tentative="1">
      <w:start w:val="1"/>
      <w:numFmt w:val="lowerRoman"/>
      <w:lvlText w:val="%9."/>
      <w:lvlJc w:val="right"/>
      <w:pPr>
        <w:ind w:left="9360" w:hanging="180"/>
      </w:pPr>
    </w:lvl>
  </w:abstractNum>
  <w:abstractNum w:abstractNumId="30" w15:restartNumberingAfterBreak="0">
    <w:nsid w:val="76283DC6"/>
    <w:multiLevelType w:val="multilevel"/>
    <w:tmpl w:val="8DDA7E84"/>
    <w:lvl w:ilvl="0">
      <w:start w:val="1"/>
      <w:numFmt w:val="decimal"/>
      <w:pStyle w:val="Perso1"/>
      <w:lvlText w:val="%1."/>
      <w:lvlJc w:val="left"/>
      <w:pPr>
        <w:ind w:left="851" w:hanging="851"/>
      </w:pPr>
      <w:rPr>
        <w:rFonts w:ascii="Calibri" w:hAnsi="Calibri" w:hint="default"/>
        <w:sz w:val="22"/>
      </w:rPr>
    </w:lvl>
    <w:lvl w:ilvl="1">
      <w:start w:val="1"/>
      <w:numFmt w:val="decimal"/>
      <w:pStyle w:val="Perso2"/>
      <w:lvlText w:val="%1.%2"/>
      <w:lvlJc w:val="left"/>
      <w:pPr>
        <w:ind w:left="851" w:hanging="851"/>
      </w:pPr>
      <w:rPr>
        <w:rFonts w:ascii="Calibri" w:hAnsi="Calibri" w:hint="default"/>
        <w:sz w:val="22"/>
      </w:rPr>
    </w:lvl>
    <w:lvl w:ilvl="2">
      <w:start w:val="1"/>
      <w:numFmt w:val="decimal"/>
      <w:lvlText w:val="%3.%1.%2"/>
      <w:lvlJc w:val="left"/>
      <w:pPr>
        <w:ind w:left="851" w:hanging="851"/>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3" w:hanging="568"/>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1" w15:restartNumberingAfterBreak="0">
    <w:nsid w:val="771655D3"/>
    <w:multiLevelType w:val="hybridMultilevel"/>
    <w:tmpl w:val="85ACA6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44CDE"/>
    <w:multiLevelType w:val="multilevel"/>
    <w:tmpl w:val="B494316A"/>
    <w:name w:val="Sophi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pStyle w:val="SR-Titre6"/>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9"/>
  </w:num>
  <w:num w:numId="3">
    <w:abstractNumId w:val="14"/>
  </w:num>
  <w:num w:numId="4">
    <w:abstractNumId w:val="28"/>
  </w:num>
  <w:num w:numId="5">
    <w:abstractNumId w:val="22"/>
  </w:num>
  <w:num w:numId="6">
    <w:abstractNumId w:val="30"/>
  </w:num>
  <w:num w:numId="7">
    <w:abstractNumId w:val="32"/>
  </w:num>
  <w:num w:numId="8">
    <w:abstractNumId w:val="8"/>
  </w:num>
  <w:num w:numId="9">
    <w:abstractNumId w:val="1"/>
  </w:num>
  <w:num w:numId="10">
    <w:abstractNumId w:val="21"/>
  </w:num>
  <w:num w:numId="11">
    <w:abstractNumId w:val="3"/>
  </w:num>
  <w:num w:numId="12">
    <w:abstractNumId w:val="13"/>
  </w:num>
  <w:num w:numId="13">
    <w:abstractNumId w:val="25"/>
  </w:num>
  <w:num w:numId="14">
    <w:abstractNumId w:val="10"/>
  </w:num>
  <w:num w:numId="15">
    <w:abstractNumId w:val="0"/>
  </w:num>
  <w:num w:numId="16">
    <w:abstractNumId w:val="9"/>
  </w:num>
  <w:num w:numId="17">
    <w:abstractNumId w:val="2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num>
  <w:num w:numId="23">
    <w:abstractNumId w:val="24"/>
  </w:num>
  <w:num w:numId="24">
    <w:abstractNumId w:val="5"/>
  </w:num>
  <w:num w:numId="25">
    <w:abstractNumId w:val="20"/>
  </w:num>
  <w:num w:numId="26">
    <w:abstractNumId w:val="27"/>
  </w:num>
  <w:num w:numId="27">
    <w:abstractNumId w:val="12"/>
  </w:num>
  <w:num w:numId="28">
    <w:abstractNumId w:val="2"/>
  </w:num>
  <w:num w:numId="29">
    <w:abstractNumId w:val="6"/>
  </w:num>
  <w:num w:numId="30">
    <w:abstractNumId w:val="31"/>
  </w:num>
  <w:num w:numId="31">
    <w:abstractNumId w:val="18"/>
  </w:num>
  <w:num w:numId="32">
    <w:abstractNumId w:val="7"/>
  </w:num>
  <w:num w:numId="33">
    <w:abstractNumId w:val="2"/>
  </w:num>
  <w:num w:numId="34">
    <w:abstractNumId w:val="23"/>
  </w:num>
  <w:num w:numId="35">
    <w:abstractNumId w:val="25"/>
  </w:num>
  <w:num w:numId="36">
    <w:abstractNumId w:val="25"/>
  </w:num>
  <w:num w:numId="37">
    <w:abstractNumId w:val="17"/>
  </w:num>
  <w:num w:numId="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53"/>
    <w:rsid w:val="00015371"/>
    <w:rsid w:val="00016064"/>
    <w:rsid w:val="00021CB6"/>
    <w:rsid w:val="00024ADF"/>
    <w:rsid w:val="00027DCE"/>
    <w:rsid w:val="00030AF4"/>
    <w:rsid w:val="000567AF"/>
    <w:rsid w:val="00070C7F"/>
    <w:rsid w:val="00071DB4"/>
    <w:rsid w:val="0008638D"/>
    <w:rsid w:val="00086753"/>
    <w:rsid w:val="000872C8"/>
    <w:rsid w:val="000928A8"/>
    <w:rsid w:val="000E0690"/>
    <w:rsid w:val="000E49E3"/>
    <w:rsid w:val="00103727"/>
    <w:rsid w:val="00136161"/>
    <w:rsid w:val="001A2D5E"/>
    <w:rsid w:val="001D3C2E"/>
    <w:rsid w:val="001D56BA"/>
    <w:rsid w:val="001E32BF"/>
    <w:rsid w:val="00210A99"/>
    <w:rsid w:val="002112CD"/>
    <w:rsid w:val="002165B0"/>
    <w:rsid w:val="00230708"/>
    <w:rsid w:val="00241E4C"/>
    <w:rsid w:val="00261A8D"/>
    <w:rsid w:val="00291B79"/>
    <w:rsid w:val="002A5F47"/>
    <w:rsid w:val="002B0E33"/>
    <w:rsid w:val="002B3A88"/>
    <w:rsid w:val="002B3DD9"/>
    <w:rsid w:val="002B5D9F"/>
    <w:rsid w:val="002C3DE2"/>
    <w:rsid w:val="002C6C28"/>
    <w:rsid w:val="002F37EE"/>
    <w:rsid w:val="00300096"/>
    <w:rsid w:val="00315D70"/>
    <w:rsid w:val="00327708"/>
    <w:rsid w:val="0033439E"/>
    <w:rsid w:val="00357F3E"/>
    <w:rsid w:val="00364BA1"/>
    <w:rsid w:val="00376A4E"/>
    <w:rsid w:val="00393084"/>
    <w:rsid w:val="003B39A3"/>
    <w:rsid w:val="003B4321"/>
    <w:rsid w:val="003F66DD"/>
    <w:rsid w:val="003F75D1"/>
    <w:rsid w:val="00416C35"/>
    <w:rsid w:val="00461E24"/>
    <w:rsid w:val="00467226"/>
    <w:rsid w:val="004A1075"/>
    <w:rsid w:val="004E20A9"/>
    <w:rsid w:val="004F023C"/>
    <w:rsid w:val="0050466D"/>
    <w:rsid w:val="005135A8"/>
    <w:rsid w:val="00514901"/>
    <w:rsid w:val="00516501"/>
    <w:rsid w:val="0051796A"/>
    <w:rsid w:val="0052544E"/>
    <w:rsid w:val="00532AD3"/>
    <w:rsid w:val="0055133F"/>
    <w:rsid w:val="00556138"/>
    <w:rsid w:val="005728A2"/>
    <w:rsid w:val="00583F62"/>
    <w:rsid w:val="005A14BC"/>
    <w:rsid w:val="005A2E29"/>
    <w:rsid w:val="005C1CA3"/>
    <w:rsid w:val="005D026F"/>
    <w:rsid w:val="005D1849"/>
    <w:rsid w:val="005D660A"/>
    <w:rsid w:val="005F152F"/>
    <w:rsid w:val="006110D9"/>
    <w:rsid w:val="00624ADA"/>
    <w:rsid w:val="006264CB"/>
    <w:rsid w:val="006318C5"/>
    <w:rsid w:val="0065535D"/>
    <w:rsid w:val="006668D4"/>
    <w:rsid w:val="00672DBE"/>
    <w:rsid w:val="00684B0F"/>
    <w:rsid w:val="00693947"/>
    <w:rsid w:val="006B01B9"/>
    <w:rsid w:val="006C2FA0"/>
    <w:rsid w:val="006E0A7D"/>
    <w:rsid w:val="006E0DCD"/>
    <w:rsid w:val="006F04C2"/>
    <w:rsid w:val="006F08B6"/>
    <w:rsid w:val="007231FC"/>
    <w:rsid w:val="00730745"/>
    <w:rsid w:val="00736FCF"/>
    <w:rsid w:val="0075200E"/>
    <w:rsid w:val="00771113"/>
    <w:rsid w:val="00780547"/>
    <w:rsid w:val="007D36A9"/>
    <w:rsid w:val="007E78A2"/>
    <w:rsid w:val="0082151C"/>
    <w:rsid w:val="00847D29"/>
    <w:rsid w:val="0085624A"/>
    <w:rsid w:val="008578E9"/>
    <w:rsid w:val="00864FEF"/>
    <w:rsid w:val="008830E5"/>
    <w:rsid w:val="00895FDE"/>
    <w:rsid w:val="008C10EA"/>
    <w:rsid w:val="00924D01"/>
    <w:rsid w:val="00925554"/>
    <w:rsid w:val="00944528"/>
    <w:rsid w:val="00952CA1"/>
    <w:rsid w:val="00962282"/>
    <w:rsid w:val="0097085A"/>
    <w:rsid w:val="009859CD"/>
    <w:rsid w:val="0099694E"/>
    <w:rsid w:val="009B161B"/>
    <w:rsid w:val="009C0D9F"/>
    <w:rsid w:val="009C4979"/>
    <w:rsid w:val="009D7DB6"/>
    <w:rsid w:val="009E28B2"/>
    <w:rsid w:val="00A060AF"/>
    <w:rsid w:val="00A17B46"/>
    <w:rsid w:val="00A23736"/>
    <w:rsid w:val="00A337BA"/>
    <w:rsid w:val="00A403AF"/>
    <w:rsid w:val="00A53061"/>
    <w:rsid w:val="00A83050"/>
    <w:rsid w:val="00AA339E"/>
    <w:rsid w:val="00AC1EF1"/>
    <w:rsid w:val="00AC3408"/>
    <w:rsid w:val="00AC6963"/>
    <w:rsid w:val="00AD552B"/>
    <w:rsid w:val="00B07AF7"/>
    <w:rsid w:val="00B17EFB"/>
    <w:rsid w:val="00B24047"/>
    <w:rsid w:val="00B34FD7"/>
    <w:rsid w:val="00B40475"/>
    <w:rsid w:val="00B42C83"/>
    <w:rsid w:val="00B55B0A"/>
    <w:rsid w:val="00B55F6C"/>
    <w:rsid w:val="00B641CB"/>
    <w:rsid w:val="00B87D63"/>
    <w:rsid w:val="00B9778A"/>
    <w:rsid w:val="00BA015C"/>
    <w:rsid w:val="00BD1F25"/>
    <w:rsid w:val="00BD310E"/>
    <w:rsid w:val="00BF211D"/>
    <w:rsid w:val="00BF7B6D"/>
    <w:rsid w:val="00C2274E"/>
    <w:rsid w:val="00C53E8A"/>
    <w:rsid w:val="00C82618"/>
    <w:rsid w:val="00CE726C"/>
    <w:rsid w:val="00CF33A2"/>
    <w:rsid w:val="00D410EE"/>
    <w:rsid w:val="00D47C97"/>
    <w:rsid w:val="00D50E25"/>
    <w:rsid w:val="00D66817"/>
    <w:rsid w:val="00D77A7F"/>
    <w:rsid w:val="00DB2074"/>
    <w:rsid w:val="00DB4307"/>
    <w:rsid w:val="00DC17F7"/>
    <w:rsid w:val="00DD28A7"/>
    <w:rsid w:val="00E52ABC"/>
    <w:rsid w:val="00EC5847"/>
    <w:rsid w:val="00EF21C3"/>
    <w:rsid w:val="00F00AC8"/>
    <w:rsid w:val="00F03DCB"/>
    <w:rsid w:val="00F11D80"/>
    <w:rsid w:val="00F154DA"/>
    <w:rsid w:val="00F161FD"/>
    <w:rsid w:val="00F25C6F"/>
    <w:rsid w:val="00F420AC"/>
    <w:rsid w:val="00F6131D"/>
    <w:rsid w:val="00F66EF0"/>
    <w:rsid w:val="00F86A70"/>
    <w:rsid w:val="00FA39D7"/>
    <w:rsid w:val="00FE2DDC"/>
    <w:rsid w:val="00FE4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AE518"/>
  <w15:docId w15:val="{3D3A6CED-486A-465B-A035-B5DB941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pPr>
        <w:spacing w:before="120" w:after="240"/>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4"/>
  </w:style>
  <w:style w:type="paragraph" w:styleId="Heading1">
    <w:name w:val="heading 1"/>
    <w:basedOn w:val="Normal"/>
    <w:next w:val="Normal"/>
    <w:link w:val="Heading1Char"/>
    <w:rsid w:val="003B39A3"/>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rsid w:val="003B39A3"/>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Perso 3"/>
    <w:basedOn w:val="Normal"/>
    <w:next w:val="Normal"/>
    <w:link w:val="Heading3Char"/>
    <w:autoRedefine/>
    <w:unhideWhenUsed/>
    <w:rsid w:val="003B39A3"/>
    <w:pPr>
      <w:keepNext/>
      <w:numPr>
        <w:ilvl w:val="2"/>
        <w:numId w:val="5"/>
      </w:numPr>
      <w:outlineLvl w:val="2"/>
    </w:pPr>
    <w:rPr>
      <w:rFonts w:eastAsiaTheme="majorEastAsia" w:cstheme="majorBidi"/>
      <w:b/>
      <w:bCs/>
      <w:szCs w:val="26"/>
    </w:rPr>
  </w:style>
  <w:style w:type="paragraph" w:styleId="Heading4">
    <w:name w:val="heading 4"/>
    <w:basedOn w:val="Normal"/>
    <w:next w:val="Normal"/>
    <w:link w:val="Heading4Char"/>
    <w:unhideWhenUsed/>
    <w:rsid w:val="003B39A3"/>
    <w:pPr>
      <w:keepNext/>
      <w:numPr>
        <w:ilvl w:val="3"/>
        <w:numId w:val="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rsid w:val="003B39A3"/>
    <w:pPr>
      <w:numPr>
        <w:ilvl w:val="4"/>
        <w:numId w:val="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B39A3"/>
    <w:pPr>
      <w:numPr>
        <w:ilvl w:val="5"/>
        <w:numId w:val="5"/>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3B39A3"/>
    <w:pPr>
      <w:numPr>
        <w:ilvl w:val="6"/>
        <w:numId w:val="5"/>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3B39A3"/>
    <w:pPr>
      <w:numPr>
        <w:ilvl w:val="7"/>
        <w:numId w:val="5"/>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3B39A3"/>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1">
    <w:name w:val="Perso1"/>
    <w:basedOn w:val="Normal"/>
    <w:next w:val="Normal"/>
    <w:autoRedefine/>
    <w:rsid w:val="003B39A3"/>
    <w:pPr>
      <w:numPr>
        <w:numId w:val="6"/>
      </w:numPr>
      <w:jc w:val="both"/>
    </w:pPr>
    <w:rPr>
      <w:b/>
      <w:u w:val="single"/>
    </w:rPr>
  </w:style>
  <w:style w:type="paragraph" w:customStyle="1" w:styleId="Perso2">
    <w:name w:val="Perso2"/>
    <w:basedOn w:val="Normal"/>
    <w:next w:val="Normal"/>
    <w:autoRedefine/>
    <w:rsid w:val="003B39A3"/>
    <w:pPr>
      <w:numPr>
        <w:ilvl w:val="1"/>
        <w:numId w:val="6"/>
      </w:numPr>
      <w:jc w:val="both"/>
    </w:pPr>
  </w:style>
  <w:style w:type="character" w:customStyle="1" w:styleId="Heading3Char">
    <w:name w:val="Heading 3 Char"/>
    <w:aliases w:val="Perso 3 Char"/>
    <w:basedOn w:val="DefaultParagraphFont"/>
    <w:link w:val="Heading3"/>
    <w:rsid w:val="003B39A3"/>
    <w:rPr>
      <w:rFonts w:eastAsiaTheme="majorEastAsia" w:cstheme="majorBidi"/>
      <w:b/>
      <w:bCs/>
      <w:szCs w:val="26"/>
    </w:rPr>
  </w:style>
  <w:style w:type="paragraph" w:customStyle="1" w:styleId="Perso3">
    <w:name w:val="Perso3"/>
    <w:basedOn w:val="Normal"/>
    <w:next w:val="Normal"/>
    <w:autoRedefine/>
    <w:rsid w:val="003B39A3"/>
    <w:pPr>
      <w:ind w:left="851"/>
      <w:jc w:val="both"/>
    </w:pPr>
    <w:rPr>
      <w:i/>
    </w:rPr>
  </w:style>
  <w:style w:type="character" w:customStyle="1" w:styleId="Heading1Char">
    <w:name w:val="Heading 1 Char"/>
    <w:basedOn w:val="DefaultParagraphFont"/>
    <w:link w:val="Heading1"/>
    <w:rsid w:val="003B39A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3B39A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rsid w:val="003B39A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3B39A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B39A3"/>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3B39A3"/>
    <w:rPr>
      <w:rFonts w:asciiTheme="minorHAnsi" w:eastAsiaTheme="minorEastAsia" w:hAnsiTheme="minorHAnsi" w:cstheme="minorBidi"/>
    </w:rPr>
  </w:style>
  <w:style w:type="character" w:customStyle="1" w:styleId="Heading8Char">
    <w:name w:val="Heading 8 Char"/>
    <w:basedOn w:val="DefaultParagraphFont"/>
    <w:link w:val="Heading8"/>
    <w:semiHidden/>
    <w:rsid w:val="003B39A3"/>
    <w:rPr>
      <w:rFonts w:asciiTheme="minorHAnsi" w:eastAsiaTheme="minorEastAsia" w:hAnsiTheme="minorHAnsi" w:cstheme="minorBidi"/>
      <w:i/>
      <w:iCs/>
    </w:rPr>
  </w:style>
  <w:style w:type="character" w:customStyle="1" w:styleId="Heading9Char">
    <w:name w:val="Heading 9 Char"/>
    <w:basedOn w:val="DefaultParagraphFont"/>
    <w:link w:val="Heading9"/>
    <w:semiHidden/>
    <w:rsid w:val="003B39A3"/>
    <w:rPr>
      <w:rFonts w:asciiTheme="majorHAnsi" w:eastAsiaTheme="majorEastAsia" w:hAnsiTheme="majorHAnsi" w:cstheme="majorBidi"/>
    </w:rPr>
  </w:style>
  <w:style w:type="paragraph" w:styleId="Header">
    <w:name w:val="header"/>
    <w:basedOn w:val="Normal"/>
    <w:link w:val="HeaderChar"/>
    <w:rsid w:val="00416C35"/>
    <w:pPr>
      <w:tabs>
        <w:tab w:val="center" w:pos="4536"/>
        <w:tab w:val="right" w:pos="9072"/>
      </w:tabs>
    </w:pPr>
  </w:style>
  <w:style w:type="character" w:customStyle="1" w:styleId="HeaderChar">
    <w:name w:val="Header Char"/>
    <w:basedOn w:val="DefaultParagraphFont"/>
    <w:link w:val="Header"/>
    <w:rsid w:val="00416C35"/>
    <w:rPr>
      <w:rFonts w:eastAsia="Times New Roman"/>
      <w:sz w:val="24"/>
      <w:szCs w:val="24"/>
      <w:lang w:eastAsia="fr-FR"/>
    </w:rPr>
  </w:style>
  <w:style w:type="paragraph" w:styleId="Footer">
    <w:name w:val="footer"/>
    <w:basedOn w:val="Normal"/>
    <w:link w:val="FooterChar"/>
    <w:rsid w:val="00416C35"/>
    <w:pPr>
      <w:tabs>
        <w:tab w:val="center" w:pos="4536"/>
        <w:tab w:val="right" w:pos="9072"/>
      </w:tabs>
    </w:pPr>
  </w:style>
  <w:style w:type="character" w:customStyle="1" w:styleId="FooterChar">
    <w:name w:val="Footer Char"/>
    <w:basedOn w:val="DefaultParagraphFont"/>
    <w:link w:val="Footer"/>
    <w:rsid w:val="00416C35"/>
    <w:rPr>
      <w:rFonts w:eastAsia="Times New Roman"/>
      <w:sz w:val="24"/>
      <w:szCs w:val="24"/>
      <w:lang w:eastAsia="fr-FR"/>
    </w:rPr>
  </w:style>
  <w:style w:type="character" w:styleId="PageNumber">
    <w:name w:val="page number"/>
    <w:basedOn w:val="DefaultParagraphFont"/>
    <w:rsid w:val="00416C35"/>
  </w:style>
  <w:style w:type="paragraph" w:styleId="BalloonText">
    <w:name w:val="Balloon Text"/>
    <w:basedOn w:val="Normal"/>
    <w:link w:val="BalloonTextChar"/>
    <w:rsid w:val="00416C35"/>
    <w:rPr>
      <w:rFonts w:ascii="Tahoma" w:hAnsi="Tahoma" w:cs="Tahoma"/>
      <w:sz w:val="16"/>
      <w:szCs w:val="16"/>
    </w:rPr>
  </w:style>
  <w:style w:type="character" w:customStyle="1" w:styleId="BalloonTextChar">
    <w:name w:val="Balloon Text Char"/>
    <w:link w:val="BalloonText"/>
    <w:rsid w:val="00416C35"/>
    <w:rPr>
      <w:rFonts w:ascii="Tahoma" w:eastAsia="Times New Roman" w:hAnsi="Tahoma" w:cs="Tahoma"/>
      <w:sz w:val="16"/>
      <w:szCs w:val="16"/>
      <w:lang w:eastAsia="fr-FR"/>
    </w:rPr>
  </w:style>
  <w:style w:type="paragraph" w:styleId="ListParagraph">
    <w:name w:val="List Paragraph"/>
    <w:basedOn w:val="Normal"/>
    <w:link w:val="ListParagraphChar"/>
    <w:uiPriority w:val="34"/>
    <w:qFormat/>
    <w:rsid w:val="003B39A3"/>
    <w:pPr>
      <w:ind w:left="708"/>
    </w:pPr>
  </w:style>
  <w:style w:type="numbering" w:customStyle="1" w:styleId="Bis">
    <w:name w:val="Bis"/>
    <w:rsid w:val="00B42C83"/>
    <w:pPr>
      <w:numPr>
        <w:numId w:val="2"/>
      </w:numPr>
    </w:pPr>
  </w:style>
  <w:style w:type="numbering" w:customStyle="1" w:styleId="PVAG-Partie1">
    <w:name w:val="PV AG - Partie 1"/>
    <w:basedOn w:val="NoList"/>
    <w:rsid w:val="00B42C83"/>
    <w:pPr>
      <w:numPr>
        <w:numId w:val="3"/>
      </w:numPr>
    </w:pPr>
  </w:style>
  <w:style w:type="paragraph" w:customStyle="1" w:styleId="PVAG-Partie10">
    <w:name w:val="PV AG-Partie 1"/>
    <w:basedOn w:val="ListParagraph"/>
    <w:next w:val="Normal"/>
    <w:autoRedefine/>
    <w:rsid w:val="00B42C83"/>
    <w:pPr>
      <w:pBdr>
        <w:top w:val="single" w:sz="4" w:space="1" w:color="auto"/>
        <w:bottom w:val="single" w:sz="4" w:space="1" w:color="auto"/>
      </w:pBdr>
      <w:spacing w:before="240" w:line="360" w:lineRule="auto"/>
      <w:ind w:left="0"/>
      <w:jc w:val="center"/>
    </w:pPr>
    <w:rPr>
      <w:b/>
    </w:rPr>
  </w:style>
  <w:style w:type="numbering" w:customStyle="1" w:styleId="PVAG-Titre1">
    <w:name w:val="PV AG-Titre 1"/>
    <w:basedOn w:val="NoList"/>
    <w:rsid w:val="00B42C83"/>
    <w:pPr>
      <w:numPr>
        <w:numId w:val="4"/>
      </w:numPr>
    </w:pPr>
  </w:style>
  <w:style w:type="paragraph" w:customStyle="1" w:styleId="Ch1pvag">
    <w:name w:val="Ch1 pv ag"/>
    <w:basedOn w:val="Normal"/>
    <w:link w:val="Ch1pvagCar"/>
    <w:autoRedefine/>
    <w:qFormat/>
    <w:rsid w:val="003B39A3"/>
    <w:pPr>
      <w:pBdr>
        <w:top w:val="single" w:sz="4" w:space="1" w:color="auto"/>
        <w:bottom w:val="single" w:sz="4" w:space="1" w:color="auto"/>
      </w:pBdr>
      <w:jc w:val="both"/>
    </w:pPr>
  </w:style>
  <w:style w:type="character" w:customStyle="1" w:styleId="Ch1pvagCar">
    <w:name w:val="Ch1 pv ag Car"/>
    <w:basedOn w:val="DefaultParagraphFont"/>
    <w:link w:val="Ch1pvag"/>
    <w:rsid w:val="003B39A3"/>
    <w:rPr>
      <w:rFonts w:ascii="Calibri" w:hAnsi="Calibri"/>
      <w:sz w:val="22"/>
      <w:szCs w:val="22"/>
    </w:rPr>
  </w:style>
  <w:style w:type="paragraph" w:customStyle="1" w:styleId="Perso3bis">
    <w:name w:val="Perso 3 bis"/>
    <w:basedOn w:val="Perso2"/>
    <w:next w:val="Normal"/>
    <w:link w:val="Perso3bisCar"/>
    <w:autoRedefine/>
    <w:rsid w:val="009D7DB6"/>
    <w:pPr>
      <w:numPr>
        <w:ilvl w:val="0"/>
        <w:numId w:val="0"/>
      </w:numPr>
    </w:pPr>
    <w:rPr>
      <w:rFonts w:eastAsiaTheme="majorEastAsia" w:cstheme="majorBidi"/>
    </w:rPr>
  </w:style>
  <w:style w:type="character" w:customStyle="1" w:styleId="Perso3bisCar">
    <w:name w:val="Perso 3 bis Car"/>
    <w:basedOn w:val="DefaultParagraphFont"/>
    <w:link w:val="Perso3bis"/>
    <w:rsid w:val="009D7DB6"/>
    <w:rPr>
      <w:rFonts w:ascii="Calibri" w:eastAsiaTheme="majorEastAsia" w:hAnsi="Calibri" w:cstheme="majorBidi"/>
      <w:sz w:val="22"/>
      <w:szCs w:val="22"/>
    </w:rPr>
  </w:style>
  <w:style w:type="paragraph" w:styleId="TOC1">
    <w:name w:val="toc 1"/>
    <w:basedOn w:val="Normal"/>
    <w:next w:val="Normal"/>
    <w:autoRedefine/>
    <w:uiPriority w:val="39"/>
    <w:unhideWhenUsed/>
    <w:rsid w:val="003B39A3"/>
    <w:pPr>
      <w:spacing w:after="100" w:line="276" w:lineRule="auto"/>
    </w:pPr>
    <w:rPr>
      <w:rFonts w:asciiTheme="minorHAnsi" w:eastAsiaTheme="minorEastAsia" w:hAnsiTheme="minorHAnsi" w:cstheme="minorBidi"/>
    </w:rPr>
  </w:style>
  <w:style w:type="paragraph" w:styleId="TOC2">
    <w:name w:val="toc 2"/>
    <w:basedOn w:val="Normal"/>
    <w:next w:val="Normal"/>
    <w:autoRedefine/>
    <w:uiPriority w:val="39"/>
    <w:unhideWhenUsed/>
    <w:rsid w:val="003B39A3"/>
    <w:pPr>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3B39A3"/>
    <w:pPr>
      <w:spacing w:after="100" w:line="276" w:lineRule="auto"/>
      <w:ind w:left="440"/>
    </w:pPr>
    <w:rPr>
      <w:rFonts w:asciiTheme="minorHAnsi" w:eastAsiaTheme="minorEastAsia" w:hAnsiTheme="minorHAnsi" w:cstheme="minorBidi"/>
    </w:rPr>
  </w:style>
  <w:style w:type="paragraph" w:styleId="TOCHeading">
    <w:name w:val="TOC Heading"/>
    <w:basedOn w:val="Heading1"/>
    <w:next w:val="Normal"/>
    <w:uiPriority w:val="39"/>
    <w:semiHidden/>
    <w:unhideWhenUsed/>
    <w:qFormat/>
    <w:rsid w:val="003B39A3"/>
    <w:pPr>
      <w:keepLines/>
      <w:numPr>
        <w:numId w:val="0"/>
      </w:numPr>
      <w:spacing w:before="480" w:after="0" w:line="276" w:lineRule="auto"/>
      <w:outlineLvl w:val="9"/>
    </w:pPr>
    <w:rPr>
      <w:color w:val="365F91" w:themeColor="accent1" w:themeShade="BF"/>
      <w:kern w:val="0"/>
      <w:sz w:val="28"/>
      <w:szCs w:val="28"/>
    </w:rPr>
  </w:style>
  <w:style w:type="paragraph" w:customStyle="1" w:styleId="SR-titredoc">
    <w:name w:val="SR-titre doc"/>
    <w:basedOn w:val="Normal"/>
    <w:link w:val="SR-titredocCar"/>
    <w:qFormat/>
    <w:rsid w:val="00B55B0A"/>
    <w:pPr>
      <w:pBdr>
        <w:top w:val="single" w:sz="4" w:space="6" w:color="FF6600"/>
        <w:left w:val="single" w:sz="4" w:space="4" w:color="FF6600"/>
        <w:bottom w:val="single" w:sz="4" w:space="6" w:color="FF6600"/>
        <w:right w:val="single" w:sz="4" w:space="4" w:color="FF6600"/>
      </w:pBdr>
      <w:spacing w:before="240"/>
      <w:jc w:val="center"/>
    </w:pPr>
    <w:rPr>
      <w:b/>
    </w:rPr>
  </w:style>
  <w:style w:type="paragraph" w:customStyle="1" w:styleId="SR-Titre1">
    <w:name w:val="SR-Titre1"/>
    <w:basedOn w:val="ListParagraph"/>
    <w:link w:val="SR-Titre1Car"/>
    <w:autoRedefine/>
    <w:qFormat/>
    <w:rsid w:val="00962282"/>
    <w:pPr>
      <w:numPr>
        <w:numId w:val="38"/>
      </w:numPr>
      <w:ind w:left="1208" w:hanging="357"/>
      <w:jc w:val="both"/>
    </w:pPr>
    <w:rPr>
      <w:rFonts w:asciiTheme="minorHAnsi" w:hAnsiTheme="minorHAnsi" w:cs="Arial"/>
      <w:b/>
      <w:color w:val="000000"/>
      <w:u w:val="single"/>
      <w:lang w:val="fr-BE"/>
    </w:rPr>
  </w:style>
  <w:style w:type="character" w:customStyle="1" w:styleId="SR-titredocCar">
    <w:name w:val="SR-titre doc Car"/>
    <w:basedOn w:val="DefaultParagraphFont"/>
    <w:link w:val="SR-titredoc"/>
    <w:rsid w:val="00B55B0A"/>
    <w:rPr>
      <w:b/>
      <w:lang w:eastAsia="fr-FR"/>
    </w:rPr>
  </w:style>
  <w:style w:type="paragraph" w:customStyle="1" w:styleId="SR-Titre2">
    <w:name w:val="SR-Titre2"/>
    <w:basedOn w:val="ListParagraph"/>
    <w:link w:val="SR-Titre2Car"/>
    <w:autoRedefine/>
    <w:qFormat/>
    <w:rsid w:val="00736FCF"/>
    <w:pPr>
      <w:ind w:left="1985" w:hanging="1134"/>
    </w:pPr>
    <w:rPr>
      <w:rFonts w:asciiTheme="minorHAnsi" w:hAnsiTheme="minorHAnsi" w:cstheme="minorHAnsi"/>
      <w:bCs/>
      <w:color w:val="000000"/>
      <w:u w:val="single"/>
    </w:rPr>
  </w:style>
  <w:style w:type="character" w:customStyle="1" w:styleId="ListParagraphChar">
    <w:name w:val="List Paragraph Char"/>
    <w:basedOn w:val="DefaultParagraphFont"/>
    <w:link w:val="ListParagraph"/>
    <w:uiPriority w:val="34"/>
    <w:rsid w:val="00A060AF"/>
  </w:style>
  <w:style w:type="character" w:customStyle="1" w:styleId="SR-Titre1Car">
    <w:name w:val="SR-Titre1 Car"/>
    <w:basedOn w:val="ListParagraphChar"/>
    <w:link w:val="SR-Titre1"/>
    <w:rsid w:val="00962282"/>
    <w:rPr>
      <w:rFonts w:asciiTheme="minorHAnsi" w:hAnsiTheme="minorHAnsi" w:cs="Arial"/>
      <w:b/>
      <w:color w:val="000000"/>
      <w:u w:val="single"/>
      <w:lang w:val="fr-BE"/>
    </w:rPr>
  </w:style>
  <w:style w:type="paragraph" w:customStyle="1" w:styleId="SR-Titre3">
    <w:name w:val="SR-Titre3"/>
    <w:basedOn w:val="ListParagraph"/>
    <w:link w:val="SR-Titre3Car"/>
    <w:autoRedefine/>
    <w:qFormat/>
    <w:rsid w:val="009C4979"/>
    <w:pPr>
      <w:numPr>
        <w:ilvl w:val="2"/>
        <w:numId w:val="13"/>
      </w:numPr>
    </w:pPr>
  </w:style>
  <w:style w:type="character" w:customStyle="1" w:styleId="SR-Titre2Car">
    <w:name w:val="SR-Titre2 Car"/>
    <w:basedOn w:val="ListParagraphChar"/>
    <w:link w:val="SR-Titre2"/>
    <w:rsid w:val="00736FCF"/>
    <w:rPr>
      <w:rFonts w:asciiTheme="minorHAnsi" w:hAnsiTheme="minorHAnsi" w:cstheme="minorHAnsi"/>
      <w:bCs/>
      <w:color w:val="000000"/>
      <w:u w:val="single"/>
    </w:rPr>
  </w:style>
  <w:style w:type="paragraph" w:customStyle="1" w:styleId="SR-Titre4">
    <w:name w:val="SR-Titre4"/>
    <w:basedOn w:val="ListParagraph"/>
    <w:link w:val="SR-Titre4Car"/>
    <w:autoRedefine/>
    <w:qFormat/>
    <w:rsid w:val="002B3DD9"/>
    <w:pPr>
      <w:numPr>
        <w:ilvl w:val="3"/>
        <w:numId w:val="13"/>
      </w:numPr>
    </w:pPr>
    <w:rPr>
      <w:b/>
    </w:rPr>
  </w:style>
  <w:style w:type="character" w:customStyle="1" w:styleId="SR-Titre3Car">
    <w:name w:val="SR-Titre3 Car"/>
    <w:basedOn w:val="ListParagraphChar"/>
    <w:link w:val="SR-Titre3"/>
    <w:rsid w:val="009C4979"/>
  </w:style>
  <w:style w:type="paragraph" w:customStyle="1" w:styleId="SR-Titre5">
    <w:name w:val="SR-Titre5"/>
    <w:basedOn w:val="ListParagraph"/>
    <w:link w:val="SR-Titre5Car"/>
    <w:autoRedefine/>
    <w:qFormat/>
    <w:rsid w:val="002B3DD9"/>
    <w:pPr>
      <w:numPr>
        <w:ilvl w:val="4"/>
        <w:numId w:val="13"/>
      </w:numPr>
    </w:pPr>
    <w:rPr>
      <w:rFonts w:ascii="Calibri Light" w:hAnsi="Calibri Light"/>
      <w:b/>
      <w:i/>
    </w:rPr>
  </w:style>
  <w:style w:type="character" w:customStyle="1" w:styleId="SR-Titre4Car">
    <w:name w:val="SR-Titre4 Car"/>
    <w:basedOn w:val="ListParagraphChar"/>
    <w:link w:val="SR-Titre4"/>
    <w:rsid w:val="002B3DD9"/>
    <w:rPr>
      <w:b/>
    </w:rPr>
  </w:style>
  <w:style w:type="paragraph" w:customStyle="1" w:styleId="SR-Titre6">
    <w:name w:val="SR-Titre6"/>
    <w:basedOn w:val="ListParagraph"/>
    <w:link w:val="SR-Titre6Car"/>
    <w:qFormat/>
    <w:rsid w:val="00BA015C"/>
    <w:pPr>
      <w:numPr>
        <w:ilvl w:val="6"/>
        <w:numId w:val="7"/>
      </w:numPr>
      <w:ind w:left="1276" w:hanging="1276"/>
    </w:pPr>
    <w:rPr>
      <w:rFonts w:asciiTheme="minorHAnsi" w:hAnsiTheme="minorHAnsi"/>
      <w:i/>
    </w:rPr>
  </w:style>
  <w:style w:type="character" w:customStyle="1" w:styleId="SR-Titre5Car">
    <w:name w:val="SR-Titre5 Car"/>
    <w:basedOn w:val="ListParagraphChar"/>
    <w:link w:val="SR-Titre5"/>
    <w:rsid w:val="002B3DD9"/>
    <w:rPr>
      <w:rFonts w:ascii="Calibri Light" w:hAnsi="Calibri Light"/>
      <w:b/>
      <w:i/>
    </w:rPr>
  </w:style>
  <w:style w:type="character" w:customStyle="1" w:styleId="SR-Titre6Car">
    <w:name w:val="SR-Titre6 Car"/>
    <w:basedOn w:val="ListParagraphChar"/>
    <w:link w:val="SR-Titre6"/>
    <w:rsid w:val="00BA015C"/>
    <w:rPr>
      <w:rFonts w:asciiTheme="minorHAnsi" w:hAnsiTheme="minorHAnsi"/>
      <w:i/>
    </w:rPr>
  </w:style>
  <w:style w:type="table" w:styleId="TableGrid">
    <w:name w:val="Table Grid"/>
    <w:basedOn w:val="TableNormal"/>
    <w:rsid w:val="0066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8D4"/>
    <w:rPr>
      <w:color w:val="0000FF" w:themeColor="hyperlink"/>
      <w:u w:val="single"/>
    </w:rPr>
  </w:style>
  <w:style w:type="paragraph" w:customStyle="1" w:styleId="SR-Contenutablematire">
    <w:name w:val="SR-Contenu table matière"/>
    <w:basedOn w:val="Normal"/>
    <w:link w:val="SR-ContenutablematireCar"/>
    <w:qFormat/>
    <w:rsid w:val="00532AD3"/>
    <w:pPr>
      <w:spacing w:before="240"/>
      <w:jc w:val="both"/>
    </w:pPr>
    <w:rPr>
      <w:rFonts w:asciiTheme="minorHAnsi" w:hAnsiTheme="minorHAnsi"/>
    </w:rPr>
  </w:style>
  <w:style w:type="table" w:styleId="Table3Deffects2">
    <w:name w:val="Table 3D effects 2"/>
    <w:basedOn w:val="TableNormal"/>
    <w:rsid w:val="0085624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R-ContenutablematireCar">
    <w:name w:val="SR-Contenu table matière Car"/>
    <w:basedOn w:val="DefaultParagraphFont"/>
    <w:link w:val="SR-Contenutablematire"/>
    <w:rsid w:val="00532AD3"/>
    <w:rPr>
      <w:rFonts w:asciiTheme="minorHAnsi" w:hAnsiTheme="minorHAnsi"/>
    </w:rPr>
  </w:style>
  <w:style w:type="paragraph" w:styleId="FootnoteText">
    <w:name w:val="footnote text"/>
    <w:basedOn w:val="Normal"/>
    <w:link w:val="FootnoteTextChar"/>
    <w:semiHidden/>
    <w:unhideWhenUsed/>
    <w:rsid w:val="00024ADF"/>
    <w:pPr>
      <w:spacing w:before="0" w:after="0"/>
    </w:pPr>
    <w:rPr>
      <w:sz w:val="20"/>
      <w:szCs w:val="20"/>
    </w:rPr>
  </w:style>
  <w:style w:type="character" w:customStyle="1" w:styleId="FootnoteTextChar">
    <w:name w:val="Footnote Text Char"/>
    <w:basedOn w:val="DefaultParagraphFont"/>
    <w:link w:val="FootnoteText"/>
    <w:semiHidden/>
    <w:rsid w:val="00024ADF"/>
    <w:rPr>
      <w:sz w:val="20"/>
      <w:szCs w:val="20"/>
    </w:rPr>
  </w:style>
  <w:style w:type="character" w:styleId="FootnoteReference">
    <w:name w:val="footnote reference"/>
    <w:basedOn w:val="DefaultParagraphFont"/>
    <w:semiHidden/>
    <w:unhideWhenUsed/>
    <w:rsid w:val="00024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Home\SECRETARIAT\MODELES\Rapports%20AG\Mod&#232;le%20PV%20AG%20SA%20-R&#233;v.1%20SR2102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315A-0E9F-4FFC-A031-600CB8DD83C6}">
  <ds:schemaRefs>
    <ds:schemaRef ds:uri="http://schemas.microsoft.com/sharepoint/v3/contenttype/forms"/>
  </ds:schemaRefs>
</ds:datastoreItem>
</file>

<file path=customXml/itemProps2.xml><?xml version="1.0" encoding="utf-8"?>
<ds:datastoreItem xmlns:ds="http://schemas.openxmlformats.org/officeDocument/2006/customXml" ds:itemID="{20BE7CF5-7DB0-49C7-A4FA-1C06A42A462C}">
  <ds:schemaRefs>
    <ds:schemaRef ds:uri="http://schemas.microsoft.com/office/2006/documentManagement/types"/>
    <ds:schemaRef ds:uri="http://purl.org/dc/terms/"/>
    <ds:schemaRef ds:uri="aab71827-5594-4718-8319-870edd58f95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0359a4a-3ee0-4d21-9975-9d02abdd1639"/>
    <ds:schemaRef ds:uri="http://www.w3.org/XML/1998/namespace"/>
  </ds:schemaRefs>
</ds:datastoreItem>
</file>

<file path=customXml/itemProps3.xml><?xml version="1.0" encoding="utf-8"?>
<ds:datastoreItem xmlns:ds="http://schemas.openxmlformats.org/officeDocument/2006/customXml" ds:itemID="{CED2E357-DCA6-49FB-9510-3BBE99EF4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59a4a-3ee0-4d21-9975-9d02abdd1639"/>
    <ds:schemaRef ds:uri="aab71827-5594-4718-8319-870edd58f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30ED3-F12A-4806-B134-A247BE09B117}">
  <ds:schemaRefs>
    <ds:schemaRef ds:uri="http://schemas.microsoft.com/sharepoint/events"/>
  </ds:schemaRefs>
</ds:datastoreItem>
</file>

<file path=customXml/itemProps5.xml><?xml version="1.0" encoding="utf-8"?>
<ds:datastoreItem xmlns:ds="http://schemas.openxmlformats.org/officeDocument/2006/customXml" ds:itemID="{5AB1B3C5-F3F5-4008-86C6-994AC275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PV AG SA -Rév.1 SR21022014</Template>
  <TotalTime>1</TotalTime>
  <Pages>4</Pages>
  <Words>1213</Words>
  <Characters>6920</Characters>
  <Application>Microsoft Office Word</Application>
  <DocSecurity>0</DocSecurity>
  <Lines>57</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ODB</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Guillaume</dc:creator>
  <cp:lastModifiedBy>Roby Fele</cp:lastModifiedBy>
  <cp:revision>2</cp:revision>
  <cp:lastPrinted>2014-05-16T07:19:00Z</cp:lastPrinted>
  <dcterms:created xsi:type="dcterms:W3CDTF">2020-04-08T11:57:00Z</dcterms:created>
  <dcterms:modified xsi:type="dcterms:W3CDTF">2020-04-08T11:57:00Z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