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908DE" w14:textId="2F8D4D04" w:rsidR="00146BF6" w:rsidRPr="00412EB5" w:rsidRDefault="006F234E" w:rsidP="00564628">
      <w:pPr>
        <w:jc w:val="center"/>
        <w:rPr>
          <w:rFonts w:cs="Calibri"/>
          <w:caps/>
          <w:sz w:val="26"/>
          <w:szCs w:val="26"/>
          <w:lang w:val="nl-BE"/>
        </w:rPr>
      </w:pPr>
      <w:bookmarkStart w:id="0" w:name="_GoBack"/>
      <w:bookmarkEnd w:id="0"/>
      <w:r w:rsidRPr="00412EB5">
        <w:rPr>
          <w:rFonts w:cs="Calibri"/>
          <w:b/>
          <w:caps/>
          <w:sz w:val="26"/>
          <w:szCs w:val="26"/>
          <w:lang w:val="nl-BE"/>
        </w:rPr>
        <w:t xml:space="preserve">Verslagen van de </w:t>
      </w:r>
      <w:r w:rsidRPr="00143CD4">
        <w:rPr>
          <w:rFonts w:cs="Calibri"/>
          <w:b/>
          <w:caps/>
          <w:sz w:val="26"/>
          <w:szCs w:val="26"/>
          <w:highlight w:val="lightGray"/>
          <w:lang w:val="nl-BE"/>
        </w:rPr>
        <w:t>bedrijfsrevisor</w:t>
      </w:r>
      <w:r w:rsidR="009B16DD" w:rsidRPr="00143CD4">
        <w:rPr>
          <w:rStyle w:val="Voetnootmarkering"/>
          <w:rFonts w:cs="Calibri"/>
          <w:b/>
          <w:caps/>
          <w:sz w:val="26"/>
          <w:szCs w:val="26"/>
          <w:highlight w:val="lightGray"/>
          <w:lang w:val="nl-BE"/>
        </w:rPr>
        <w:footnoteReference w:id="1"/>
      </w:r>
      <w:r w:rsidRPr="00412EB5">
        <w:rPr>
          <w:rFonts w:cs="Calibri"/>
          <w:b/>
          <w:caps/>
          <w:sz w:val="26"/>
          <w:szCs w:val="26"/>
          <w:lang w:val="nl-BE"/>
        </w:rPr>
        <w:t xml:space="preserve"> aan de </w:t>
      </w:r>
      <w:r w:rsidR="00FF42B0" w:rsidRPr="00143CD4">
        <w:rPr>
          <w:rFonts w:cs="Calibri"/>
          <w:b/>
          <w:caps/>
          <w:sz w:val="26"/>
          <w:szCs w:val="26"/>
          <w:highlight w:val="lightGray"/>
          <w:lang w:val="nl-BE"/>
        </w:rPr>
        <w:t>Raad van bestuur</w:t>
      </w:r>
      <w:r w:rsidR="009B16DD" w:rsidRPr="00143CD4">
        <w:rPr>
          <w:rStyle w:val="Voetnootmarkering"/>
          <w:rFonts w:cs="Calibri"/>
          <w:b/>
          <w:caps/>
          <w:sz w:val="26"/>
          <w:szCs w:val="26"/>
          <w:highlight w:val="lightGray"/>
          <w:lang w:val="nl-BE"/>
        </w:rPr>
        <w:footnoteReference w:id="2"/>
      </w:r>
      <w:r w:rsidRPr="00412EB5">
        <w:rPr>
          <w:rFonts w:cs="Calibri"/>
          <w:b/>
          <w:caps/>
          <w:sz w:val="26"/>
          <w:szCs w:val="26"/>
          <w:lang w:val="nl-BE"/>
        </w:rPr>
        <w:t xml:space="preserve"> van de Vlaamse rechtspersoon </w:t>
      </w:r>
      <w:r w:rsidRPr="00143CD4">
        <w:rPr>
          <w:rFonts w:cs="Calibri"/>
          <w:b/>
          <w:caps/>
          <w:sz w:val="26"/>
          <w:szCs w:val="26"/>
          <w:highlight w:val="lightGray"/>
          <w:lang w:val="nl-BE"/>
        </w:rPr>
        <w:t>[</w:t>
      </w:r>
      <w:r w:rsidR="006349A3" w:rsidRPr="00143CD4">
        <w:rPr>
          <w:rFonts w:cs="Calibri"/>
          <w:b/>
          <w:caps/>
          <w:sz w:val="26"/>
          <w:szCs w:val="26"/>
          <w:highlight w:val="lightGray"/>
          <w:lang w:val="nl-BE"/>
        </w:rPr>
        <w:t>_</w:t>
      </w:r>
      <w:r w:rsidRPr="00143CD4">
        <w:rPr>
          <w:rFonts w:cs="Calibri"/>
          <w:b/>
          <w:caps/>
          <w:sz w:val="26"/>
          <w:szCs w:val="26"/>
          <w:highlight w:val="lightGray"/>
          <w:lang w:val="nl-BE"/>
        </w:rPr>
        <w:t>]</w:t>
      </w:r>
      <w:r w:rsidRPr="00412EB5">
        <w:rPr>
          <w:rFonts w:cs="Calibri"/>
          <w:b/>
          <w:caps/>
          <w:sz w:val="26"/>
          <w:szCs w:val="26"/>
          <w:lang w:val="nl-BE"/>
        </w:rPr>
        <w:t xml:space="preserve"> </w:t>
      </w:r>
      <w:r w:rsidR="00B4712F" w:rsidRPr="00412EB5">
        <w:rPr>
          <w:rFonts w:cs="Calibri"/>
          <w:b/>
          <w:caps/>
          <w:sz w:val="26"/>
          <w:szCs w:val="26"/>
          <w:lang w:val="nl-BE"/>
        </w:rPr>
        <w:br/>
      </w:r>
      <w:r w:rsidRPr="00412EB5">
        <w:rPr>
          <w:rFonts w:cs="Calibri"/>
          <w:b/>
          <w:caps/>
          <w:sz w:val="26"/>
          <w:szCs w:val="26"/>
          <w:lang w:val="nl-BE"/>
        </w:rPr>
        <w:t>in uitvoering van artikel 50 van het decreet van 8 juli 2011 houdende regeling van de begroting, de boekhouding, de toekenning van subsidies en de controle op de aanwending ervan, en de controle door het Rekenhof en van artikel 9 van het Beslui</w:t>
      </w:r>
      <w:r w:rsidR="008F49B2" w:rsidRPr="00412EB5">
        <w:rPr>
          <w:rFonts w:cs="Calibri"/>
          <w:b/>
          <w:caps/>
          <w:sz w:val="26"/>
          <w:szCs w:val="26"/>
          <w:lang w:val="nl-BE"/>
        </w:rPr>
        <w:t>t van de Vlaamse Regering van 7 </w:t>
      </w:r>
      <w:r w:rsidRPr="00412EB5">
        <w:rPr>
          <w:rFonts w:cs="Calibri"/>
          <w:b/>
          <w:caps/>
          <w:sz w:val="26"/>
          <w:szCs w:val="26"/>
          <w:lang w:val="nl-BE"/>
        </w:rPr>
        <w:t>september 2012 betreffende de controle en single audit</w:t>
      </w:r>
      <w:r w:rsidR="000B1204" w:rsidRPr="000B1204">
        <w:rPr>
          <w:rStyle w:val="Voetnootmarkering"/>
          <w:rFonts w:cs="Calibri"/>
          <w:b/>
          <w:caps/>
          <w:sz w:val="26"/>
          <w:szCs w:val="26"/>
          <w:highlight w:val="lightGray"/>
          <w:lang w:val="nl-BE"/>
        </w:rPr>
        <w:footnoteReference w:id="3"/>
      </w:r>
    </w:p>
    <w:p w14:paraId="51A5EDC3" w14:textId="77777777" w:rsidR="006F234E" w:rsidRPr="00412EB5" w:rsidRDefault="006F234E" w:rsidP="00146BF6">
      <w:pPr>
        <w:rPr>
          <w:rFonts w:cs="Calibri"/>
          <w:sz w:val="28"/>
          <w:szCs w:val="28"/>
          <w:lang w:val="nl-BE"/>
        </w:rPr>
      </w:pPr>
    </w:p>
    <w:p w14:paraId="25786E1A" w14:textId="77777777" w:rsidR="00874D1E" w:rsidRPr="00412EB5" w:rsidRDefault="00874D1E" w:rsidP="00146BF6">
      <w:pPr>
        <w:rPr>
          <w:rFonts w:cs="Calibri"/>
          <w:sz w:val="28"/>
          <w:szCs w:val="28"/>
          <w:lang w:val="nl-BE"/>
        </w:rPr>
      </w:pPr>
    </w:p>
    <w:p w14:paraId="1824A122" w14:textId="77777777" w:rsidR="008F49B2" w:rsidRPr="00412EB5" w:rsidRDefault="008F49B2" w:rsidP="00B4712F">
      <w:pPr>
        <w:jc w:val="both"/>
        <w:rPr>
          <w:rFonts w:cs="Calibri"/>
          <w:sz w:val="28"/>
          <w:szCs w:val="28"/>
          <w:lang w:val="nl-BE"/>
        </w:rPr>
      </w:pPr>
    </w:p>
    <w:p w14:paraId="504645FB" w14:textId="77777777" w:rsidR="006F234E" w:rsidRPr="00412EB5" w:rsidRDefault="006F234E" w:rsidP="00B4712F">
      <w:pPr>
        <w:spacing w:after="120"/>
        <w:jc w:val="both"/>
        <w:rPr>
          <w:rFonts w:cs="Calibri"/>
          <w:szCs w:val="22"/>
          <w:lang w:val="nl-BE"/>
        </w:rPr>
      </w:pPr>
      <w:r w:rsidRPr="00412EB5">
        <w:rPr>
          <w:rFonts w:cs="Calibri"/>
          <w:szCs w:val="22"/>
          <w:lang w:val="nl-BE"/>
        </w:rPr>
        <w:t>Deze bundel bevat ons:</w:t>
      </w:r>
    </w:p>
    <w:p w14:paraId="32F7839A" w14:textId="77777777" w:rsidR="00973036" w:rsidRPr="00412EB5" w:rsidRDefault="00355E41" w:rsidP="00973036">
      <w:pPr>
        <w:pStyle w:val="Inhopg1"/>
        <w:rPr>
          <w:rFonts w:asciiTheme="minorHAnsi" w:eastAsiaTheme="minorEastAsia" w:hAnsiTheme="minorHAnsi" w:cstheme="minorBidi"/>
          <w:szCs w:val="22"/>
        </w:rPr>
      </w:pPr>
      <w:r w:rsidRPr="00412EB5">
        <w:rPr>
          <w:rFonts w:cs="Calibri"/>
          <w:i/>
          <w:szCs w:val="22"/>
        </w:rPr>
        <w:fldChar w:fldCharType="begin"/>
      </w:r>
      <w:r w:rsidRPr="00412EB5">
        <w:rPr>
          <w:rFonts w:cs="Calibri"/>
          <w:i/>
          <w:szCs w:val="22"/>
        </w:rPr>
        <w:instrText xml:space="preserve"> TOC \o "1-1" \n \u </w:instrText>
      </w:r>
      <w:r w:rsidRPr="00412EB5">
        <w:rPr>
          <w:rFonts w:cs="Calibri"/>
          <w:i/>
          <w:szCs w:val="22"/>
        </w:rPr>
        <w:fldChar w:fldCharType="separate"/>
      </w:r>
      <w:r w:rsidR="00973036" w:rsidRPr="00412EB5">
        <w:t xml:space="preserve">Single audit verslag van de </w:t>
      </w:r>
      <w:r w:rsidR="00973036" w:rsidRPr="00143CD4">
        <w:rPr>
          <w:highlight w:val="lightGray"/>
        </w:rPr>
        <w:t>[bedrijfsrevisor]</w:t>
      </w:r>
      <w:r w:rsidR="00973036" w:rsidRPr="00412EB5">
        <w:t xml:space="preserve"> aan de </w:t>
      </w:r>
      <w:r w:rsidR="00412EB5" w:rsidRPr="00143CD4">
        <w:rPr>
          <w:highlight w:val="lightGray"/>
        </w:rPr>
        <w:t>[r</w:t>
      </w:r>
      <w:r w:rsidR="00973036" w:rsidRPr="00143CD4">
        <w:rPr>
          <w:highlight w:val="lightGray"/>
        </w:rPr>
        <w:t>aad van bestuur]</w:t>
      </w:r>
      <w:r w:rsidR="00973036" w:rsidRPr="00412EB5">
        <w:t xml:space="preserve"> van de Vlaamse rechtspersoon </w:t>
      </w:r>
      <w:r w:rsidR="00973036" w:rsidRPr="00143CD4">
        <w:rPr>
          <w:highlight w:val="lightGray"/>
        </w:rPr>
        <w:t>[_]</w:t>
      </w:r>
      <w:r w:rsidR="00973036" w:rsidRPr="00412EB5">
        <w:t xml:space="preserve">  over de jaarrekening conform het rekendecreet en de uitvoeringsbesluiten betreffende het boekjaar afgesloten op 31 december </w:t>
      </w:r>
      <w:r w:rsidR="00973036" w:rsidRPr="00143CD4">
        <w:rPr>
          <w:highlight w:val="lightGray"/>
        </w:rPr>
        <w:t>20_</w:t>
      </w:r>
    </w:p>
    <w:p w14:paraId="5C80877B" w14:textId="2483ACD4" w:rsidR="00973036" w:rsidRPr="00412EB5" w:rsidRDefault="00973036" w:rsidP="00973036">
      <w:pPr>
        <w:pStyle w:val="Inhopg1"/>
        <w:rPr>
          <w:rFonts w:asciiTheme="minorHAnsi" w:eastAsiaTheme="minorEastAsia" w:hAnsiTheme="minorHAnsi" w:cstheme="minorBidi"/>
          <w:szCs w:val="22"/>
        </w:rPr>
      </w:pPr>
      <w:r w:rsidRPr="00412EB5">
        <w:t xml:space="preserve">Single audit verslag van de </w:t>
      </w:r>
      <w:r w:rsidRPr="00143CD4">
        <w:rPr>
          <w:highlight w:val="lightGray"/>
        </w:rPr>
        <w:t>[bedrijfsrevisor]</w:t>
      </w:r>
      <w:r w:rsidRPr="00412EB5">
        <w:t xml:space="preserve"> aan de </w:t>
      </w:r>
      <w:r w:rsidRPr="00143CD4">
        <w:rPr>
          <w:highlight w:val="lightGray"/>
        </w:rPr>
        <w:t>[raad van bestuur]</w:t>
      </w:r>
      <w:r w:rsidRPr="00412EB5">
        <w:t xml:space="preserve"> van de vlaamse rechtspersoon </w:t>
      </w:r>
      <w:r w:rsidRPr="00143CD4">
        <w:rPr>
          <w:highlight w:val="lightGray"/>
        </w:rPr>
        <w:t>[_]</w:t>
      </w:r>
      <w:r w:rsidRPr="00412EB5">
        <w:t xml:space="preserve">  inzake de controle voor het boekjaar </w:t>
      </w:r>
      <w:r w:rsidRPr="00143CD4">
        <w:rPr>
          <w:highlight w:val="lightGray"/>
        </w:rPr>
        <w:t>20_</w:t>
      </w:r>
      <w:r w:rsidRPr="00412EB5">
        <w:t xml:space="preserve"> op de naleving van de beslissingen en toekenningsvoorwaarden opgelegd door de regulerende overheid bij de uitvoering van de begroting en de rapportering desbetreffend</w:t>
      </w:r>
      <w:r w:rsidR="000B1204" w:rsidRPr="000B1204">
        <w:rPr>
          <w:rStyle w:val="Voetnootmarkering"/>
          <w:rFonts w:cs="Calibri"/>
          <w:b/>
          <w:caps/>
          <w:sz w:val="26"/>
          <w:szCs w:val="26"/>
          <w:highlight w:val="lightGray"/>
        </w:rPr>
        <w:footnoteReference w:id="4"/>
      </w:r>
    </w:p>
    <w:p w14:paraId="49DA6009" w14:textId="77777777" w:rsidR="00973036" w:rsidRPr="00412EB5" w:rsidRDefault="00973036" w:rsidP="00973036">
      <w:pPr>
        <w:pStyle w:val="Inhopg1"/>
        <w:rPr>
          <w:rFonts w:asciiTheme="minorHAnsi" w:eastAsiaTheme="minorEastAsia" w:hAnsiTheme="minorHAnsi" w:cstheme="minorBidi"/>
          <w:szCs w:val="22"/>
        </w:rPr>
      </w:pPr>
      <w:r w:rsidRPr="00412EB5">
        <w:t xml:space="preserve">Single audit verslag van de </w:t>
      </w:r>
      <w:r w:rsidRPr="00143CD4">
        <w:rPr>
          <w:highlight w:val="lightGray"/>
        </w:rPr>
        <w:t>[bedrijfsrevisor]</w:t>
      </w:r>
      <w:r w:rsidRPr="00412EB5">
        <w:t xml:space="preserve"> aan de </w:t>
      </w:r>
      <w:r w:rsidRPr="00143CD4">
        <w:rPr>
          <w:highlight w:val="lightGray"/>
        </w:rPr>
        <w:t>[raad van bestuur]</w:t>
      </w:r>
      <w:r w:rsidRPr="00412EB5">
        <w:t xml:space="preserve"> van de vlaamse rechtspersoon </w:t>
      </w:r>
      <w:r w:rsidRPr="00143CD4">
        <w:rPr>
          <w:highlight w:val="lightGray"/>
        </w:rPr>
        <w:t>[_]</w:t>
      </w:r>
      <w:r w:rsidRPr="00412EB5">
        <w:t xml:space="preserve"> over de jaarlijkse esr-rapportering betreffende het boekjaar afgesloten op 31 december </w:t>
      </w:r>
      <w:r w:rsidRPr="00143CD4">
        <w:rPr>
          <w:highlight w:val="lightGray"/>
        </w:rPr>
        <w:t>20_</w:t>
      </w:r>
    </w:p>
    <w:p w14:paraId="59A317C1" w14:textId="77777777" w:rsidR="008F49B2" w:rsidRPr="00412EB5" w:rsidRDefault="00355E41" w:rsidP="00355E41">
      <w:pPr>
        <w:pStyle w:val="Lijstalinea"/>
        <w:spacing w:after="120"/>
        <w:ind w:left="714"/>
        <w:contextualSpacing w:val="0"/>
        <w:jc w:val="both"/>
        <w:outlineLvl w:val="0"/>
        <w:rPr>
          <w:rFonts w:cs="Calibri"/>
          <w:szCs w:val="22"/>
          <w:lang w:val="nl-BE"/>
        </w:rPr>
      </w:pPr>
      <w:r w:rsidRPr="00412EB5">
        <w:rPr>
          <w:rFonts w:cs="Calibri"/>
          <w:i/>
          <w:szCs w:val="22"/>
          <w:lang w:val="nl-BE"/>
        </w:rPr>
        <w:fldChar w:fldCharType="end"/>
      </w:r>
    </w:p>
    <w:p w14:paraId="59D9E7B8" w14:textId="36AA557B" w:rsidR="00B4712F" w:rsidRPr="00412EB5" w:rsidRDefault="008F49B2" w:rsidP="00B4712F">
      <w:pPr>
        <w:jc w:val="both"/>
        <w:rPr>
          <w:rFonts w:cs="Calibri"/>
          <w:szCs w:val="22"/>
          <w:lang w:val="nl-BE"/>
        </w:rPr>
      </w:pPr>
      <w:r w:rsidRPr="00412EB5">
        <w:rPr>
          <w:rFonts w:cs="Calibri"/>
          <w:szCs w:val="22"/>
          <w:lang w:val="nl-BE"/>
        </w:rPr>
        <w:t>Deze 3</w:t>
      </w:r>
      <w:r w:rsidR="000B1204">
        <w:rPr>
          <w:rFonts w:cs="Calibri"/>
          <w:szCs w:val="22"/>
          <w:lang w:val="nl-BE"/>
        </w:rPr>
        <w:t xml:space="preserve"> [</w:t>
      </w:r>
      <w:r w:rsidR="000B1204" w:rsidRPr="000B1204">
        <w:rPr>
          <w:rFonts w:cs="Calibri"/>
          <w:szCs w:val="22"/>
          <w:highlight w:val="lightGray"/>
          <w:lang w:val="nl-BE"/>
        </w:rPr>
        <w:t>2</w:t>
      </w:r>
      <w:r w:rsidR="000B1204">
        <w:rPr>
          <w:rFonts w:cs="Calibri"/>
          <w:szCs w:val="22"/>
          <w:vertAlign w:val="superscript"/>
          <w:lang w:val="nl-BE"/>
        </w:rPr>
        <w:t>4</w:t>
      </w:r>
      <w:r w:rsidR="000B1204">
        <w:rPr>
          <w:rFonts w:cs="Calibri"/>
          <w:szCs w:val="22"/>
          <w:lang w:val="nl-BE"/>
        </w:rPr>
        <w:t>]</w:t>
      </w:r>
      <w:r w:rsidRPr="00412EB5">
        <w:rPr>
          <w:rFonts w:cs="Calibri"/>
          <w:szCs w:val="22"/>
          <w:lang w:val="nl-BE"/>
        </w:rPr>
        <w:t xml:space="preserve"> verslagen dienen in onderlinge samenhang te worden gelezen en kunnen niet afzonderlijk van elkaar worden gezien of gebruikt.</w:t>
      </w:r>
    </w:p>
    <w:p w14:paraId="179B5570" w14:textId="77777777" w:rsidR="00B4712F" w:rsidRPr="00412EB5" w:rsidRDefault="00B4712F" w:rsidP="00B4712F">
      <w:pPr>
        <w:rPr>
          <w:rFonts w:cs="Calibri"/>
          <w:szCs w:val="22"/>
          <w:lang w:val="nl-BE"/>
        </w:rPr>
      </w:pPr>
    </w:p>
    <w:p w14:paraId="78D92F8E" w14:textId="108BBBAA" w:rsidR="008F49B2" w:rsidRPr="00412EB5" w:rsidRDefault="00DC0429" w:rsidP="000E0C16">
      <w:pPr>
        <w:pStyle w:val="Kop1"/>
      </w:pPr>
      <w:bookmarkStart w:id="1" w:name="_Toc381197306"/>
      <w:bookmarkStart w:id="2" w:name="_Toc381197309"/>
      <w:bookmarkStart w:id="3" w:name="_Toc381197312"/>
      <w:bookmarkStart w:id="4" w:name="_Toc381196918"/>
      <w:bookmarkStart w:id="5" w:name="_Toc381197018"/>
      <w:bookmarkStart w:id="6" w:name="_Toc381197035"/>
      <w:bookmarkStart w:id="7" w:name="_Toc381197038"/>
      <w:bookmarkStart w:id="8" w:name="_Toc381197044"/>
      <w:r w:rsidRPr="00412EB5">
        <w:t>Single audit</w:t>
      </w:r>
      <w:r w:rsidR="001748C1" w:rsidRPr="00412EB5">
        <w:t xml:space="preserve"> verslag van de </w:t>
      </w:r>
      <w:r w:rsidR="001748C1" w:rsidRPr="00143CD4">
        <w:rPr>
          <w:highlight w:val="lightGray"/>
        </w:rPr>
        <w:t>[bedrijfsrevisor]</w:t>
      </w:r>
      <w:r w:rsidR="001748C1" w:rsidRPr="00412EB5">
        <w:t xml:space="preserve"> aan de </w:t>
      </w:r>
      <w:r w:rsidR="001748C1" w:rsidRPr="00143CD4">
        <w:rPr>
          <w:highlight w:val="lightGray"/>
        </w:rPr>
        <w:t>[</w:t>
      </w:r>
      <w:r w:rsidR="00FF42B0" w:rsidRPr="00143CD4">
        <w:rPr>
          <w:highlight w:val="lightGray"/>
        </w:rPr>
        <w:t>Raad van bestuur</w:t>
      </w:r>
      <w:r w:rsidR="001748C1" w:rsidRPr="00143CD4">
        <w:rPr>
          <w:highlight w:val="lightGray"/>
        </w:rPr>
        <w:t>]</w:t>
      </w:r>
      <w:r w:rsidR="001748C1" w:rsidRPr="00412EB5">
        <w:t xml:space="preserve"> van de Vlaamse rechtspersoon </w:t>
      </w:r>
      <w:r w:rsidR="001748C1" w:rsidRPr="00143CD4">
        <w:rPr>
          <w:highlight w:val="lightGray"/>
        </w:rPr>
        <w:t>[</w:t>
      </w:r>
      <w:r w:rsidR="006349A3" w:rsidRPr="00143CD4">
        <w:rPr>
          <w:highlight w:val="lightGray"/>
        </w:rPr>
        <w:t>_</w:t>
      </w:r>
      <w:r w:rsidR="001748C1" w:rsidRPr="00143CD4">
        <w:rPr>
          <w:highlight w:val="lightGray"/>
        </w:rPr>
        <w:t>]</w:t>
      </w:r>
      <w:r w:rsidR="001748C1" w:rsidRPr="00412EB5">
        <w:t xml:space="preserve"> </w:t>
      </w:r>
      <w:r w:rsidR="00B4712F" w:rsidRPr="00412EB5">
        <w:br/>
      </w:r>
      <w:r w:rsidR="001748C1" w:rsidRPr="00412EB5">
        <w:t>over de jaarrekening conform het r</w:t>
      </w:r>
      <w:r w:rsidR="00355E41" w:rsidRPr="00412EB5">
        <w:t>ekendecreet en de uitvoeringsbe</w:t>
      </w:r>
      <w:r w:rsidR="001748C1" w:rsidRPr="00412EB5">
        <w:t>s</w:t>
      </w:r>
      <w:r w:rsidR="00355E41" w:rsidRPr="00412EB5">
        <w:t>l</w:t>
      </w:r>
      <w:r w:rsidR="001748C1" w:rsidRPr="00412EB5">
        <w:t xml:space="preserve">uiten betreffende het boekjaar afgesloten op </w:t>
      </w:r>
      <w:r w:rsidR="00B4712F" w:rsidRPr="00412EB5">
        <w:t>31 december </w:t>
      </w:r>
      <w:r w:rsidR="001748C1" w:rsidRPr="00143CD4">
        <w:rPr>
          <w:highlight w:val="lightGray"/>
        </w:rPr>
        <w:t>20_</w:t>
      </w:r>
      <w:bookmarkEnd w:id="1"/>
      <w:bookmarkEnd w:id="2"/>
      <w:bookmarkEnd w:id="3"/>
      <w:r w:rsidR="001748C1" w:rsidRPr="00412EB5">
        <w:t xml:space="preserve"> </w:t>
      </w:r>
      <w:bookmarkEnd w:id="4"/>
      <w:bookmarkEnd w:id="5"/>
      <w:bookmarkEnd w:id="6"/>
      <w:bookmarkEnd w:id="7"/>
      <w:bookmarkEnd w:id="8"/>
      <w:r w:rsidR="009B16DD">
        <w:t>(</w:t>
      </w:r>
      <w:r w:rsidR="009B16DD" w:rsidRPr="009B16DD">
        <w:rPr>
          <w:caps w:val="0"/>
        </w:rPr>
        <w:t xml:space="preserve">art. </w:t>
      </w:r>
      <w:r w:rsidR="009B16DD">
        <w:rPr>
          <w:caps w:val="0"/>
        </w:rPr>
        <w:t>9</w:t>
      </w:r>
      <w:r w:rsidR="008D47B0">
        <w:rPr>
          <w:caps w:val="0"/>
        </w:rPr>
        <w:t xml:space="preserve"> </w:t>
      </w:r>
      <w:r w:rsidR="009B16DD">
        <w:rPr>
          <w:caps w:val="0"/>
        </w:rPr>
        <w:t>§4 van het besluit s</w:t>
      </w:r>
      <w:r w:rsidR="009B16DD" w:rsidRPr="009B16DD">
        <w:rPr>
          <w:caps w:val="0"/>
        </w:rPr>
        <w:t>ingle audit</w:t>
      </w:r>
      <w:r w:rsidR="009B16DD">
        <w:t>)</w:t>
      </w:r>
    </w:p>
    <w:p w14:paraId="3F0243EF" w14:textId="77777777" w:rsidR="00DC0429" w:rsidRPr="00412EB5" w:rsidRDefault="00DC0429" w:rsidP="008F49B2">
      <w:pPr>
        <w:rPr>
          <w:szCs w:val="22"/>
          <w:lang w:val="nl-BE"/>
        </w:rPr>
      </w:pPr>
    </w:p>
    <w:p w14:paraId="54F510A6" w14:textId="77777777" w:rsidR="00DC0429" w:rsidRPr="00412EB5" w:rsidRDefault="00DC0429" w:rsidP="008F49B2">
      <w:pPr>
        <w:rPr>
          <w:szCs w:val="22"/>
          <w:lang w:val="nl-BE"/>
        </w:rPr>
      </w:pPr>
    </w:p>
    <w:p w14:paraId="52FFBC79" w14:textId="2756F62E" w:rsidR="00DC0429" w:rsidRDefault="00BB21F1" w:rsidP="00B4712F">
      <w:pPr>
        <w:jc w:val="both"/>
        <w:rPr>
          <w:szCs w:val="22"/>
          <w:lang w:val="nl-BE"/>
        </w:rPr>
      </w:pPr>
      <w:r>
        <w:rPr>
          <w:szCs w:val="22"/>
          <w:lang w:val="nl-BE"/>
        </w:rPr>
        <w:t>Overeenkomstig artikel 50</w:t>
      </w:r>
      <w:r w:rsidR="00E35C77" w:rsidRPr="00412EB5">
        <w:rPr>
          <w:szCs w:val="22"/>
          <w:lang w:val="nl-BE"/>
        </w:rPr>
        <w:t xml:space="preserve"> </w:t>
      </w:r>
      <w:r w:rsidR="00E35C77" w:rsidRPr="00412EB5">
        <w:rPr>
          <w:rFonts w:cs="Calibri"/>
          <w:szCs w:val="22"/>
          <w:lang w:val="nl-BE"/>
        </w:rPr>
        <w:t>§</w:t>
      </w:r>
      <w:r w:rsidR="00E35C77" w:rsidRPr="00412EB5">
        <w:rPr>
          <w:szCs w:val="22"/>
          <w:lang w:val="nl-BE"/>
        </w:rPr>
        <w:t xml:space="preserve">1 </w:t>
      </w:r>
      <w:r>
        <w:rPr>
          <w:szCs w:val="22"/>
          <w:lang w:val="nl-BE"/>
        </w:rPr>
        <w:t xml:space="preserve">van het decreet van 8 juli 2011, </w:t>
      </w:r>
      <w:r w:rsidR="00E35C77" w:rsidRPr="00412EB5">
        <w:rPr>
          <w:szCs w:val="22"/>
          <w:lang w:val="nl-BE"/>
        </w:rPr>
        <w:t>houdende regeling van de begroting,</w:t>
      </w:r>
      <w:r w:rsidR="006349A3" w:rsidRPr="00412EB5">
        <w:rPr>
          <w:szCs w:val="22"/>
          <w:lang w:val="nl-BE"/>
        </w:rPr>
        <w:t xml:space="preserve"> de boekhouding, de toekenning van subsidies en de controle op de aanwending ervan, en de controle door het Rekenhof (“het rekendecreet), brengen wij u verslag uit in het kader van onze opdracht van </w:t>
      </w:r>
      <w:r w:rsidR="006349A3" w:rsidRPr="00143CD4">
        <w:rPr>
          <w:szCs w:val="22"/>
          <w:highlight w:val="lightGray"/>
          <w:lang w:val="nl-BE"/>
        </w:rPr>
        <w:t>[bedrijfsrevisor]</w:t>
      </w:r>
      <w:r w:rsidR="008D47B0">
        <w:rPr>
          <w:szCs w:val="22"/>
          <w:lang w:val="nl-BE"/>
        </w:rPr>
        <w:t xml:space="preserve"> tot controle van de jaarrekening </w:t>
      </w:r>
      <w:r w:rsidR="008D47B0" w:rsidRPr="008E30E7">
        <w:rPr>
          <w:szCs w:val="22"/>
          <w:lang w:val="nl-BE"/>
        </w:rPr>
        <w:t xml:space="preserve">conform het rekendecreet en de uitvoeringsbesluiten </w:t>
      </w:r>
      <w:r w:rsidR="009447B4">
        <w:rPr>
          <w:szCs w:val="22"/>
          <w:lang w:val="nl-BE"/>
        </w:rPr>
        <w:t xml:space="preserve">(de “jaarrekening”) </w:t>
      </w:r>
      <w:r w:rsidR="008D47B0">
        <w:rPr>
          <w:szCs w:val="22"/>
          <w:lang w:val="nl-BE"/>
        </w:rPr>
        <w:t>van [</w:t>
      </w:r>
      <w:r w:rsidR="008D47B0" w:rsidRPr="00143CD4">
        <w:rPr>
          <w:szCs w:val="22"/>
          <w:highlight w:val="lightGray"/>
          <w:lang w:val="nl-BE"/>
        </w:rPr>
        <w:t>de Vlaamse rechtspersoon___]</w:t>
      </w:r>
      <w:r w:rsidR="008D47B0">
        <w:rPr>
          <w:szCs w:val="22"/>
          <w:lang w:val="nl-BE"/>
        </w:rPr>
        <w:t xml:space="preserve"> (de “Vlaamse rechtspersoon”)</w:t>
      </w:r>
      <w:r w:rsidR="006349A3" w:rsidRPr="00412EB5">
        <w:rPr>
          <w:szCs w:val="22"/>
          <w:lang w:val="nl-BE"/>
        </w:rPr>
        <w:t xml:space="preserve">. Dit verslag </w:t>
      </w:r>
      <w:r w:rsidR="008D47B0" w:rsidRPr="00FC019C">
        <w:rPr>
          <w:szCs w:val="22"/>
          <w:lang w:val="nl-BE"/>
        </w:rPr>
        <w:t>bevat ons verslag over de controle van de jaarrekening conform het rekendecreet en de uitvoeringsbesluiten alsook het verslag betreffende de overige door wet- en regelgeving gestelde eisen. Deze verslagen zijn één en ondeelbaar.</w:t>
      </w:r>
      <w:r w:rsidR="006349A3" w:rsidRPr="00412EB5">
        <w:rPr>
          <w:szCs w:val="22"/>
          <w:lang w:val="nl-BE"/>
        </w:rPr>
        <w:t xml:space="preserve"> </w:t>
      </w:r>
    </w:p>
    <w:p w14:paraId="06A270BE" w14:textId="7ABA14FB" w:rsidR="00484036" w:rsidRPr="002C2866" w:rsidDel="009447B4" w:rsidRDefault="00484036" w:rsidP="00FC019C">
      <w:pPr>
        <w:jc w:val="both"/>
        <w:rPr>
          <w:i/>
          <w:szCs w:val="22"/>
          <w:lang w:val="nl-BE"/>
        </w:rPr>
      </w:pPr>
    </w:p>
    <w:p w14:paraId="27EA6131" w14:textId="5D21779F" w:rsidR="00773EC6" w:rsidRPr="00FC019C" w:rsidRDefault="002077F6" w:rsidP="00FC019C">
      <w:pPr>
        <w:jc w:val="both"/>
        <w:rPr>
          <w:rFonts w:asciiTheme="minorHAnsi" w:hAnsiTheme="minorHAnsi" w:cstheme="minorHAnsi"/>
          <w:szCs w:val="22"/>
          <w:lang w:val="nl-BE"/>
        </w:rPr>
      </w:pPr>
      <w:r w:rsidRPr="000B1204">
        <w:rPr>
          <w:szCs w:val="22"/>
          <w:highlight w:val="lightGray"/>
          <w:lang w:val="nl-BE"/>
        </w:rPr>
        <w:t>[Voor vennootschappen:</w:t>
      </w:r>
      <w:r>
        <w:rPr>
          <w:szCs w:val="22"/>
          <w:lang w:val="nl-BE"/>
        </w:rPr>
        <w:t xml:space="preserve"> </w:t>
      </w:r>
      <w:r w:rsidR="00773EC6" w:rsidRPr="00FC019C">
        <w:rPr>
          <w:rFonts w:asciiTheme="minorHAnsi" w:hAnsiTheme="minorHAnsi"/>
          <w:lang w:val="nl-BE"/>
        </w:rPr>
        <w:t xml:space="preserve">Wij werden benoemd in onze hoedanigheid van </w:t>
      </w:r>
      <w:r w:rsidR="008D47B0" w:rsidRPr="00143CD4">
        <w:rPr>
          <w:szCs w:val="22"/>
          <w:highlight w:val="lightGray"/>
          <w:lang w:val="nl-BE"/>
        </w:rPr>
        <w:t>[bedrijfsrevisor]</w:t>
      </w:r>
      <w:r w:rsidR="00773EC6" w:rsidRPr="00FC019C">
        <w:rPr>
          <w:rFonts w:asciiTheme="minorHAnsi" w:hAnsiTheme="minorHAnsi"/>
          <w:lang w:val="nl-BE"/>
        </w:rPr>
        <w:t xml:space="preserve"> door de algemene vergadering van </w:t>
      </w:r>
      <w:r w:rsidR="008D47B0" w:rsidRPr="002C2866">
        <w:rPr>
          <w:rFonts w:ascii="Times New Roman" w:hAnsi="Times New Roman"/>
          <w:sz w:val="24"/>
          <w:lang w:val="nl-BE"/>
        </w:rPr>
        <w:t>[</w:t>
      </w:r>
      <w:r w:rsidR="008D47B0" w:rsidRPr="00143CD4">
        <w:rPr>
          <w:rFonts w:ascii="Times New Roman" w:hAnsi="Times New Roman"/>
          <w:sz w:val="24"/>
          <w:highlight w:val="lightGray"/>
          <w:lang w:val="nl-BE"/>
        </w:rPr>
        <w:t>xx</w:t>
      </w:r>
      <w:r w:rsidR="008D47B0" w:rsidRPr="002C2866">
        <w:rPr>
          <w:rFonts w:ascii="Times New Roman" w:hAnsi="Times New Roman"/>
          <w:sz w:val="24"/>
          <w:lang w:val="nl-BE"/>
        </w:rPr>
        <w:t>]</w:t>
      </w:r>
      <w:r w:rsidR="00773EC6" w:rsidRPr="00FC019C">
        <w:rPr>
          <w:rFonts w:asciiTheme="minorHAnsi" w:hAnsiTheme="minorHAnsi"/>
          <w:lang w:val="nl-BE"/>
        </w:rPr>
        <w:t xml:space="preserve"> overeenkomstig het voorstel van </w:t>
      </w:r>
      <w:r w:rsidR="008D47B0" w:rsidRPr="00FC019C">
        <w:rPr>
          <w:szCs w:val="22"/>
          <w:lang w:val="nl-BE"/>
        </w:rPr>
        <w:t xml:space="preserve">de </w:t>
      </w:r>
      <w:r w:rsidR="008D47B0" w:rsidRPr="00143CD4">
        <w:rPr>
          <w:szCs w:val="22"/>
          <w:highlight w:val="lightGray"/>
          <w:lang w:val="nl-BE"/>
        </w:rPr>
        <w:t>[raad van bestuur]</w:t>
      </w:r>
      <w:r w:rsidR="008D47B0" w:rsidRPr="00FC019C">
        <w:rPr>
          <w:szCs w:val="22"/>
          <w:lang w:val="nl-BE"/>
        </w:rPr>
        <w:t xml:space="preserve"> van de Vlaamse rechtspersoon</w:t>
      </w:r>
      <w:r w:rsidR="00FC019C">
        <w:rPr>
          <w:szCs w:val="22"/>
          <w:lang w:val="nl-BE"/>
        </w:rPr>
        <w:t xml:space="preserve"> </w:t>
      </w:r>
      <w:r w:rsidR="008D47B0" w:rsidRPr="00143CD4">
        <w:rPr>
          <w:szCs w:val="22"/>
          <w:lang w:val="nl-BE"/>
        </w:rPr>
        <w:t>[</w:t>
      </w:r>
      <w:r w:rsidR="00FC019C" w:rsidRPr="00143CD4">
        <w:rPr>
          <w:szCs w:val="22"/>
          <w:lang w:val="nl-BE"/>
        </w:rPr>
        <w:t>, </w:t>
      </w:r>
      <w:r w:rsidR="008D47B0" w:rsidRPr="00143CD4">
        <w:rPr>
          <w:szCs w:val="22"/>
          <w:lang w:val="nl-BE"/>
        </w:rPr>
        <w:t>uitgebracht op voordracht van de _______</w:t>
      </w:r>
      <w:r w:rsidRPr="000B1204">
        <w:rPr>
          <w:rFonts w:asciiTheme="minorHAnsi" w:hAnsiTheme="minorHAnsi"/>
          <w:highlight w:val="lightGray"/>
          <w:vertAlign w:val="superscript"/>
          <w:lang w:val="nl-BE"/>
        </w:rPr>
        <w:footnoteReference w:id="5"/>
      </w:r>
      <w:r w:rsidR="008D47B0" w:rsidRPr="00143CD4">
        <w:rPr>
          <w:szCs w:val="22"/>
          <w:lang w:val="nl-BE"/>
        </w:rPr>
        <w:t>]</w:t>
      </w:r>
      <w:r w:rsidR="00773EC6" w:rsidRPr="00143CD4">
        <w:rPr>
          <w:szCs w:val="22"/>
          <w:lang w:val="nl-BE"/>
        </w:rPr>
        <w:t>.</w:t>
      </w:r>
    </w:p>
    <w:p w14:paraId="13A6A877" w14:textId="77777777" w:rsidR="008D47B0" w:rsidRPr="00FC019C" w:rsidRDefault="008D47B0" w:rsidP="00FC019C">
      <w:pPr>
        <w:jc w:val="both"/>
        <w:rPr>
          <w:rFonts w:asciiTheme="minorHAnsi" w:hAnsiTheme="minorHAnsi"/>
          <w:lang w:val="nl-BE"/>
        </w:rPr>
      </w:pPr>
    </w:p>
    <w:p w14:paraId="4835C7E7" w14:textId="309329A3" w:rsidR="00B4712F" w:rsidRPr="00FC019C" w:rsidRDefault="00773EC6" w:rsidP="00FC019C">
      <w:pPr>
        <w:jc w:val="both"/>
        <w:rPr>
          <w:i/>
          <w:szCs w:val="22"/>
          <w:lang w:val="nl-BE"/>
        </w:rPr>
      </w:pPr>
      <w:r w:rsidRPr="00FC019C">
        <w:rPr>
          <w:rFonts w:asciiTheme="minorHAnsi" w:hAnsiTheme="minorHAnsi"/>
          <w:lang w:val="nl-BE"/>
        </w:rPr>
        <w:t xml:space="preserve">Ons mandaat loopt af op de datum van de algemene vergadering die beraadslaagt over de </w:t>
      </w:r>
      <w:r w:rsidR="00B63017" w:rsidRPr="00FC019C">
        <w:rPr>
          <w:rFonts w:asciiTheme="minorHAnsi" w:hAnsiTheme="minorHAnsi"/>
          <w:lang w:val="nl-BE"/>
        </w:rPr>
        <w:t xml:space="preserve">jaarrekening afgesloten op </w:t>
      </w:r>
      <w:r w:rsidR="008D47B0" w:rsidRPr="002C2866">
        <w:rPr>
          <w:rFonts w:ascii="Times New Roman" w:hAnsi="Times New Roman"/>
          <w:sz w:val="24"/>
          <w:lang w:val="nl-BE"/>
        </w:rPr>
        <w:t>[</w:t>
      </w:r>
      <w:r w:rsidR="008D47B0" w:rsidRPr="00143CD4">
        <w:rPr>
          <w:szCs w:val="22"/>
          <w:lang w:val="nl-BE"/>
        </w:rPr>
        <w:t>xx]</w:t>
      </w:r>
      <w:r w:rsidR="00B63017" w:rsidRPr="00FC019C">
        <w:rPr>
          <w:rFonts w:asciiTheme="minorHAnsi" w:hAnsiTheme="minorHAnsi"/>
          <w:lang w:val="nl-BE"/>
        </w:rPr>
        <w:t xml:space="preserve">. Wij hebben de wettelijke controle van de jaarrekening van </w:t>
      </w:r>
      <w:r w:rsidR="00D030FD" w:rsidRPr="00FC019C">
        <w:rPr>
          <w:rFonts w:asciiTheme="minorHAnsi" w:hAnsiTheme="minorHAnsi"/>
          <w:lang w:val="nl-BE"/>
        </w:rPr>
        <w:t>de Vlaamse rechtspersoon</w:t>
      </w:r>
      <w:r w:rsidR="00B63017" w:rsidRPr="00FC019C">
        <w:rPr>
          <w:rFonts w:asciiTheme="minorHAnsi" w:hAnsiTheme="minorHAnsi"/>
          <w:lang w:val="nl-BE"/>
        </w:rPr>
        <w:t xml:space="preserve"> uitgevoerd gedurende </w:t>
      </w:r>
      <w:r w:rsidR="009447B4" w:rsidRPr="002C2866">
        <w:rPr>
          <w:rFonts w:ascii="Times New Roman" w:hAnsi="Times New Roman"/>
          <w:sz w:val="24"/>
          <w:lang w:val="nl-BE"/>
        </w:rPr>
        <w:t>[</w:t>
      </w:r>
      <w:r w:rsidR="009447B4" w:rsidRPr="00143CD4">
        <w:rPr>
          <w:szCs w:val="22"/>
          <w:lang w:val="nl-BE"/>
        </w:rPr>
        <w:t>xx</w:t>
      </w:r>
      <w:r w:rsidR="009447B4" w:rsidRPr="002C2866">
        <w:rPr>
          <w:rFonts w:ascii="Times New Roman" w:hAnsi="Times New Roman"/>
          <w:sz w:val="24"/>
          <w:lang w:val="nl-BE"/>
        </w:rPr>
        <w:t>]</w:t>
      </w:r>
      <w:r w:rsidR="00B63017" w:rsidRPr="00FC019C">
        <w:rPr>
          <w:rFonts w:asciiTheme="minorHAnsi" w:hAnsiTheme="minorHAnsi"/>
          <w:lang w:val="nl-BE"/>
        </w:rPr>
        <w:t xml:space="preserve"> opeenvolgende boekjaren.</w:t>
      </w:r>
      <w:r w:rsidR="009447B4" w:rsidRPr="002C2866">
        <w:rPr>
          <w:rFonts w:ascii="Times New Roman" w:eastAsia="Calibri" w:hAnsi="Times New Roman"/>
          <w:sz w:val="24"/>
          <w:vertAlign w:val="superscript"/>
          <w:lang w:val="nl-BE"/>
        </w:rPr>
        <w:t xml:space="preserve"> </w:t>
      </w:r>
      <w:r w:rsidR="009447B4" w:rsidRPr="002C2866">
        <w:rPr>
          <w:rFonts w:ascii="Times New Roman" w:eastAsia="Calibri" w:hAnsi="Times New Roman"/>
          <w:sz w:val="24"/>
          <w:vertAlign w:val="superscript"/>
          <w:lang w:val="nl-BE"/>
        </w:rPr>
        <w:footnoteReference w:id="6"/>
      </w:r>
      <w:r w:rsidR="002077F6">
        <w:rPr>
          <w:rFonts w:ascii="Times New Roman" w:eastAsia="Calibri" w:hAnsi="Times New Roman"/>
          <w:sz w:val="24"/>
          <w:vertAlign w:val="superscript"/>
          <w:lang w:val="nl-BE"/>
        </w:rPr>
        <w:t>]</w:t>
      </w:r>
    </w:p>
    <w:p w14:paraId="5242D3C4" w14:textId="77777777" w:rsidR="00B4712F" w:rsidRPr="00412EB5" w:rsidRDefault="00B4712F" w:rsidP="008F49B2">
      <w:pPr>
        <w:rPr>
          <w:i/>
          <w:szCs w:val="22"/>
          <w:lang w:val="nl-BE"/>
        </w:rPr>
      </w:pPr>
    </w:p>
    <w:p w14:paraId="68C2E0CA" w14:textId="4B419BD7" w:rsidR="00BB21F1" w:rsidRPr="00FC019C" w:rsidRDefault="00484036" w:rsidP="00FC019C">
      <w:pPr>
        <w:spacing w:after="200" w:line="276" w:lineRule="auto"/>
        <w:rPr>
          <w:rFonts w:ascii="Times New Roman" w:eastAsia="Calibri" w:hAnsi="Times New Roman"/>
          <w:b/>
          <w:color w:val="1F497D" w:themeColor="text2"/>
          <w:sz w:val="28"/>
          <w:szCs w:val="28"/>
          <w:lang w:val="nl-BE"/>
        </w:rPr>
      </w:pPr>
      <w:r w:rsidRPr="00FC019C">
        <w:rPr>
          <w:rFonts w:ascii="Times New Roman" w:eastAsia="Calibri" w:hAnsi="Times New Roman"/>
          <w:b/>
          <w:color w:val="1F497D" w:themeColor="text2"/>
          <w:sz w:val="28"/>
          <w:szCs w:val="28"/>
          <w:lang w:val="nl-BE"/>
        </w:rPr>
        <w:t xml:space="preserve">Verslag over </w:t>
      </w:r>
      <w:r w:rsidR="009447B4" w:rsidRPr="00FC019C">
        <w:rPr>
          <w:rFonts w:ascii="Times New Roman" w:eastAsia="Calibri" w:hAnsi="Times New Roman"/>
          <w:b/>
          <w:color w:val="1F497D" w:themeColor="text2"/>
          <w:sz w:val="28"/>
          <w:szCs w:val="28"/>
          <w:lang w:val="nl-BE"/>
        </w:rPr>
        <w:t xml:space="preserve">de controle van </w:t>
      </w:r>
      <w:r w:rsidRPr="00FC019C">
        <w:rPr>
          <w:rFonts w:ascii="Times New Roman" w:eastAsia="Calibri" w:hAnsi="Times New Roman"/>
          <w:b/>
          <w:color w:val="1F497D" w:themeColor="text2"/>
          <w:sz w:val="28"/>
          <w:szCs w:val="28"/>
          <w:lang w:val="nl-BE"/>
        </w:rPr>
        <w:t xml:space="preserve">de jaarrekening conform het rekendecreet en de </w:t>
      </w:r>
      <w:r w:rsidR="00BB21F1" w:rsidRPr="00FC019C">
        <w:rPr>
          <w:rFonts w:ascii="Times New Roman" w:eastAsia="Calibri" w:hAnsi="Times New Roman"/>
          <w:b/>
          <w:color w:val="1F497D" w:themeColor="text2"/>
          <w:sz w:val="28"/>
          <w:szCs w:val="28"/>
          <w:lang w:val="nl-BE"/>
        </w:rPr>
        <w:t xml:space="preserve">uitvoeringsbesluiten </w:t>
      </w:r>
    </w:p>
    <w:p w14:paraId="2433B76B" w14:textId="77777777" w:rsidR="00484036" w:rsidRPr="00FC019C" w:rsidRDefault="00BB21F1" w:rsidP="00FC019C">
      <w:pPr>
        <w:spacing w:after="200" w:line="276" w:lineRule="auto"/>
        <w:rPr>
          <w:rFonts w:ascii="Times New Roman" w:eastAsia="Calibri" w:hAnsi="Times New Roman"/>
          <w:b/>
          <w:i/>
          <w:color w:val="1F497D" w:themeColor="text2"/>
          <w:sz w:val="24"/>
          <w:lang w:val="nl-BE"/>
        </w:rPr>
      </w:pPr>
      <w:r w:rsidRPr="00FC019C">
        <w:rPr>
          <w:rFonts w:ascii="Times New Roman" w:eastAsia="Calibri" w:hAnsi="Times New Roman"/>
          <w:b/>
          <w:i/>
          <w:color w:val="1F497D" w:themeColor="text2"/>
          <w:sz w:val="24"/>
          <w:lang w:val="nl-BE"/>
        </w:rPr>
        <w:t>O</w:t>
      </w:r>
      <w:r w:rsidR="00484036" w:rsidRPr="00FC019C">
        <w:rPr>
          <w:rFonts w:ascii="Times New Roman" w:eastAsia="Calibri" w:hAnsi="Times New Roman"/>
          <w:b/>
          <w:i/>
          <w:color w:val="1F497D" w:themeColor="text2"/>
          <w:sz w:val="24"/>
          <w:lang w:val="nl-BE"/>
        </w:rPr>
        <w:t>ordeel zonder voorbehoud</w:t>
      </w:r>
    </w:p>
    <w:p w14:paraId="60BA0E5E" w14:textId="07050F55" w:rsidR="00484036" w:rsidRPr="00412EB5" w:rsidRDefault="00484036" w:rsidP="00B4712F">
      <w:pPr>
        <w:jc w:val="both"/>
        <w:rPr>
          <w:szCs w:val="22"/>
          <w:lang w:val="nl-BE"/>
        </w:rPr>
      </w:pPr>
      <w:r w:rsidRPr="00412EB5">
        <w:rPr>
          <w:szCs w:val="22"/>
          <w:lang w:val="nl-BE"/>
        </w:rPr>
        <w:t>Wij hebben de controle uitgevoerd van de jaarrekening</w:t>
      </w:r>
      <w:r w:rsidR="000B1204">
        <w:rPr>
          <w:szCs w:val="22"/>
          <w:lang w:val="nl-BE"/>
        </w:rPr>
        <w:t xml:space="preserve"> conform het rekendecreet en de uitvoeringsbesluiten</w:t>
      </w:r>
      <w:r w:rsidRPr="00412EB5">
        <w:rPr>
          <w:szCs w:val="22"/>
          <w:lang w:val="nl-BE"/>
        </w:rPr>
        <w:t xml:space="preserve"> van de Vlaamse rechtspersoon</w:t>
      </w:r>
      <w:r w:rsidR="00A503EF">
        <w:rPr>
          <w:szCs w:val="22"/>
          <w:lang w:val="nl-BE"/>
        </w:rPr>
        <w:t xml:space="preserve">, die de balans op </w:t>
      </w:r>
      <w:r w:rsidR="009447B4">
        <w:rPr>
          <w:szCs w:val="22"/>
          <w:lang w:val="nl-BE"/>
        </w:rPr>
        <w:t>[</w:t>
      </w:r>
      <w:r w:rsidR="00A503EF" w:rsidRPr="00143CD4">
        <w:rPr>
          <w:szCs w:val="22"/>
          <w:lang w:val="nl-BE"/>
        </w:rPr>
        <w:t>DD/MM/JJJJ</w:t>
      </w:r>
      <w:r w:rsidR="009447B4">
        <w:rPr>
          <w:szCs w:val="22"/>
          <w:lang w:val="nl-BE"/>
        </w:rPr>
        <w:t>]</w:t>
      </w:r>
      <w:r w:rsidR="00A503EF">
        <w:rPr>
          <w:szCs w:val="22"/>
          <w:lang w:val="nl-BE"/>
        </w:rPr>
        <w:t xml:space="preserve"> omvat, alsook de resultatenrekening van het boekjaar afgesloten op die datum</w:t>
      </w:r>
      <w:r w:rsidRPr="00412EB5">
        <w:rPr>
          <w:szCs w:val="22"/>
          <w:lang w:val="nl-BE"/>
        </w:rPr>
        <w:t xml:space="preserve"> </w:t>
      </w:r>
      <w:r w:rsidR="00A503EF">
        <w:rPr>
          <w:szCs w:val="22"/>
          <w:lang w:val="nl-BE"/>
        </w:rPr>
        <w:t xml:space="preserve"> en de toelichting,</w:t>
      </w:r>
      <w:r w:rsidR="00A503EF" w:rsidRPr="00412EB5" w:rsidDel="00A503EF">
        <w:rPr>
          <w:szCs w:val="22"/>
          <w:lang w:val="nl-BE"/>
        </w:rPr>
        <w:t xml:space="preserve"> </w:t>
      </w:r>
      <w:r w:rsidRPr="00412EB5">
        <w:rPr>
          <w:szCs w:val="22"/>
          <w:lang w:val="nl-BE"/>
        </w:rPr>
        <w:t xml:space="preserve">, met een balanstotaal van € </w:t>
      </w:r>
      <w:r w:rsidRPr="00143CD4">
        <w:rPr>
          <w:szCs w:val="22"/>
          <w:lang w:val="nl-BE"/>
        </w:rPr>
        <w:t>_</w:t>
      </w:r>
      <w:r w:rsidRPr="00412EB5">
        <w:rPr>
          <w:szCs w:val="22"/>
          <w:lang w:val="nl-BE"/>
        </w:rPr>
        <w:t xml:space="preserve"> en waarvan de resultatenrekening afsluit met een </w:t>
      </w:r>
      <w:r w:rsidRPr="00143CD4">
        <w:rPr>
          <w:szCs w:val="22"/>
          <w:lang w:val="nl-BE"/>
        </w:rPr>
        <w:t>positief [negatief]</w:t>
      </w:r>
      <w:r w:rsidRPr="00412EB5">
        <w:rPr>
          <w:szCs w:val="22"/>
          <w:lang w:val="nl-BE"/>
        </w:rPr>
        <w:t xml:space="preserve"> saldo van het boekjaar van € </w:t>
      </w:r>
      <w:r w:rsidRPr="00143CD4">
        <w:rPr>
          <w:szCs w:val="22"/>
          <w:lang w:val="nl-BE"/>
        </w:rPr>
        <w:t>_</w:t>
      </w:r>
      <w:r w:rsidRPr="00412EB5">
        <w:rPr>
          <w:szCs w:val="22"/>
          <w:lang w:val="nl-BE"/>
        </w:rPr>
        <w:t>.</w:t>
      </w:r>
    </w:p>
    <w:p w14:paraId="5CC61053" w14:textId="77777777" w:rsidR="00DE18C0" w:rsidRPr="00412EB5" w:rsidRDefault="00DE18C0" w:rsidP="00B4712F">
      <w:pPr>
        <w:jc w:val="both"/>
        <w:rPr>
          <w:szCs w:val="22"/>
          <w:lang w:val="nl-BE"/>
        </w:rPr>
      </w:pPr>
    </w:p>
    <w:p w14:paraId="356D3ABC" w14:textId="5E20D81C" w:rsidR="00BB21F1" w:rsidRPr="00412EB5" w:rsidRDefault="00BB21F1" w:rsidP="00BB21F1">
      <w:pPr>
        <w:jc w:val="both"/>
        <w:rPr>
          <w:szCs w:val="22"/>
          <w:lang w:val="nl-BE"/>
        </w:rPr>
      </w:pPr>
      <w:r w:rsidRPr="00412EB5">
        <w:rPr>
          <w:szCs w:val="22"/>
          <w:lang w:val="nl-BE"/>
        </w:rPr>
        <w:t>Naar ons oordeel geeft de jaarrekening</w:t>
      </w:r>
      <w:r w:rsidR="000B1204">
        <w:rPr>
          <w:szCs w:val="22"/>
          <w:lang w:val="nl-BE"/>
        </w:rPr>
        <w:t xml:space="preserve"> conform het rekendecreet en de uitvoeringsbesluiten</w:t>
      </w:r>
      <w:r w:rsidRPr="00412EB5">
        <w:rPr>
          <w:szCs w:val="22"/>
          <w:lang w:val="nl-BE"/>
        </w:rPr>
        <w:t xml:space="preserve"> een getrouw beeld van het vermogen en de financiële toesta</w:t>
      </w:r>
      <w:r w:rsidR="000B1204">
        <w:rPr>
          <w:szCs w:val="22"/>
          <w:lang w:val="nl-BE"/>
        </w:rPr>
        <w:t>nd van de Vlaamse rechtspersoon</w:t>
      </w:r>
      <w:r w:rsidRPr="00412EB5">
        <w:rPr>
          <w:szCs w:val="22"/>
          <w:lang w:val="nl-BE"/>
        </w:rPr>
        <w:t xml:space="preserve"> per </w:t>
      </w:r>
      <w:r w:rsidRPr="00412EB5">
        <w:rPr>
          <w:szCs w:val="22"/>
          <w:lang w:val="nl-BE"/>
        </w:rPr>
        <w:lastRenderedPageBreak/>
        <w:t xml:space="preserve">31 december </w:t>
      </w:r>
      <w:r w:rsidRPr="00143CD4">
        <w:rPr>
          <w:szCs w:val="22"/>
          <w:lang w:val="nl-BE"/>
        </w:rPr>
        <w:t>20_</w:t>
      </w:r>
      <w:r w:rsidRPr="00412EB5">
        <w:rPr>
          <w:szCs w:val="22"/>
          <w:lang w:val="nl-BE"/>
        </w:rPr>
        <w:t xml:space="preserve">, alsook van </w:t>
      </w:r>
      <w:r w:rsidR="00A503EF">
        <w:rPr>
          <w:szCs w:val="22"/>
          <w:lang w:val="nl-BE"/>
        </w:rPr>
        <w:t>haar</w:t>
      </w:r>
      <w:r w:rsidRPr="00412EB5">
        <w:rPr>
          <w:szCs w:val="22"/>
          <w:lang w:val="nl-BE"/>
        </w:rPr>
        <w:t>s resultaten over het boekjaar dat op die datum is afgesloten, in overeenstemming met het rekendecreet en de uitvoeringsbesluiten daarvan.</w:t>
      </w:r>
    </w:p>
    <w:p w14:paraId="3A731E6E" w14:textId="77777777" w:rsidR="001C2EFF" w:rsidRDefault="001C2EFF" w:rsidP="00B4712F">
      <w:pPr>
        <w:jc w:val="both"/>
        <w:rPr>
          <w:szCs w:val="22"/>
          <w:lang w:val="nl-BE"/>
        </w:rPr>
      </w:pPr>
    </w:p>
    <w:p w14:paraId="133C162C" w14:textId="77777777" w:rsidR="00BB21F1" w:rsidRPr="00FC019C" w:rsidRDefault="00BB21F1" w:rsidP="00FC019C">
      <w:pPr>
        <w:spacing w:after="200" w:line="276" w:lineRule="auto"/>
        <w:rPr>
          <w:rFonts w:ascii="Times New Roman" w:eastAsia="Calibri" w:hAnsi="Times New Roman"/>
          <w:b/>
          <w:i/>
          <w:color w:val="1F497D" w:themeColor="text2"/>
          <w:sz w:val="24"/>
          <w:lang w:val="nl-BE"/>
        </w:rPr>
      </w:pPr>
      <w:r w:rsidRPr="00FC019C">
        <w:rPr>
          <w:rFonts w:ascii="Times New Roman" w:eastAsia="Calibri" w:hAnsi="Times New Roman"/>
          <w:b/>
          <w:i/>
          <w:color w:val="1F497D" w:themeColor="text2"/>
          <w:sz w:val="24"/>
          <w:lang w:val="nl-BE"/>
        </w:rPr>
        <w:t>Basis voor het oordeel zonder voorbehoud</w:t>
      </w:r>
    </w:p>
    <w:p w14:paraId="31AAA324" w14:textId="7A42946F" w:rsidR="00BB21F1" w:rsidRDefault="00BB21F1" w:rsidP="00BB21F1">
      <w:pPr>
        <w:jc w:val="both"/>
        <w:rPr>
          <w:rFonts w:asciiTheme="minorHAnsi" w:hAnsiTheme="minorHAnsi"/>
          <w:lang w:val="nl-BE"/>
        </w:rPr>
      </w:pPr>
      <w:r w:rsidRPr="001434A3">
        <w:rPr>
          <w:rFonts w:asciiTheme="minorHAnsi" w:hAnsiTheme="minorHAnsi"/>
          <w:lang w:val="nl-BE"/>
        </w:rPr>
        <w:t>Wij hebben onze controle uitgevoerd volgens de internationale controlestandaarden (ISA’s)</w:t>
      </w:r>
      <w:r w:rsidR="009447B4">
        <w:rPr>
          <w:rFonts w:asciiTheme="minorHAnsi" w:hAnsiTheme="minorHAnsi"/>
          <w:lang w:val="nl-BE"/>
        </w:rPr>
        <w:t xml:space="preserve"> [</w:t>
      </w:r>
      <w:r w:rsidR="009447B4" w:rsidRPr="00143CD4">
        <w:rPr>
          <w:szCs w:val="22"/>
          <w:lang w:val="nl-BE"/>
        </w:rPr>
        <w:t>zoals van toepassing in België</w:t>
      </w:r>
      <w:r w:rsidR="009447B4">
        <w:rPr>
          <w:rFonts w:asciiTheme="minorHAnsi" w:hAnsiTheme="minorHAnsi"/>
          <w:lang w:val="nl-BE"/>
        </w:rPr>
        <w:t>]</w:t>
      </w:r>
      <w:r w:rsidRPr="001434A3">
        <w:rPr>
          <w:rFonts w:asciiTheme="minorHAnsi" w:hAnsiTheme="minorHAnsi"/>
          <w:lang w:val="nl-BE"/>
        </w:rPr>
        <w:t xml:space="preserve">. Onze verantwoordelijkheden op grond van deze standaarden zijn verder beschreven in de sectie “Verantwoordelijkheden van de </w:t>
      </w:r>
      <w:r>
        <w:rPr>
          <w:rFonts w:asciiTheme="minorHAnsi" w:hAnsiTheme="minorHAnsi"/>
          <w:lang w:val="nl-BE"/>
        </w:rPr>
        <w:t>[</w:t>
      </w:r>
      <w:r w:rsidRPr="000B1204">
        <w:rPr>
          <w:szCs w:val="22"/>
          <w:highlight w:val="lightGray"/>
          <w:lang w:val="nl-BE"/>
        </w:rPr>
        <w:t>bedrijfsrevisor</w:t>
      </w:r>
      <w:r>
        <w:rPr>
          <w:rFonts w:asciiTheme="minorHAnsi" w:hAnsiTheme="minorHAnsi"/>
          <w:lang w:val="nl-BE"/>
        </w:rPr>
        <w:t>]</w:t>
      </w:r>
      <w:r w:rsidRPr="001434A3">
        <w:rPr>
          <w:rFonts w:asciiTheme="minorHAnsi" w:hAnsiTheme="minorHAnsi"/>
          <w:lang w:val="nl-BE"/>
        </w:rPr>
        <w:t xml:space="preserve"> voor de controle van de jaarrekening” van ons verslag. Wij hebben alle deontologische vereisten die relevant zijn voor de controle van de jaarrekening</w:t>
      </w:r>
      <w:r w:rsidR="0005113F">
        <w:rPr>
          <w:rFonts w:asciiTheme="minorHAnsi" w:hAnsiTheme="minorHAnsi"/>
          <w:lang w:val="nl-BE"/>
        </w:rPr>
        <w:t xml:space="preserve"> conform het rekendecreet en de uitvoeringsbesluiten</w:t>
      </w:r>
      <w:r w:rsidRPr="001434A3">
        <w:rPr>
          <w:rFonts w:asciiTheme="minorHAnsi" w:hAnsiTheme="minorHAnsi"/>
          <w:lang w:val="nl-BE"/>
        </w:rPr>
        <w:t xml:space="preserve"> in België nageleefd, met inbegrip van deze met betrekking tot de onafhankelijkheid. </w:t>
      </w:r>
    </w:p>
    <w:p w14:paraId="798725E6" w14:textId="77777777" w:rsidR="0005113F" w:rsidRDefault="0005113F" w:rsidP="00BB21F1">
      <w:pPr>
        <w:jc w:val="both"/>
        <w:rPr>
          <w:szCs w:val="22"/>
          <w:lang w:val="nl-BE"/>
        </w:rPr>
      </w:pPr>
    </w:p>
    <w:p w14:paraId="7A415F70" w14:textId="04BCDC7E" w:rsidR="00BB21F1" w:rsidRPr="00412EB5" w:rsidRDefault="00BB21F1" w:rsidP="00BB21F1">
      <w:pPr>
        <w:jc w:val="both"/>
        <w:rPr>
          <w:szCs w:val="22"/>
          <w:lang w:val="nl-BE"/>
        </w:rPr>
      </w:pPr>
      <w:r w:rsidRPr="00412EB5">
        <w:rPr>
          <w:szCs w:val="22"/>
          <w:lang w:val="nl-BE"/>
        </w:rPr>
        <w:t xml:space="preserve">Wij hebben van het bestuursorgaan en van de personen die aangesteld zijn door </w:t>
      </w:r>
      <w:r w:rsidR="00B729D4">
        <w:rPr>
          <w:szCs w:val="22"/>
          <w:lang w:val="nl-BE"/>
        </w:rPr>
        <w:t>de Vlaamse rechtspersoon</w:t>
      </w:r>
      <w:r w:rsidRPr="00412EB5">
        <w:rPr>
          <w:szCs w:val="22"/>
          <w:lang w:val="nl-BE"/>
        </w:rPr>
        <w:t xml:space="preserve"> de voor onze controle vereiste toelichtingen en informatie verkregen.</w:t>
      </w:r>
    </w:p>
    <w:p w14:paraId="38F747D8" w14:textId="77777777" w:rsidR="00BB21F1" w:rsidRPr="00412EB5" w:rsidRDefault="00BB21F1" w:rsidP="00BB21F1">
      <w:pPr>
        <w:jc w:val="both"/>
        <w:rPr>
          <w:szCs w:val="22"/>
          <w:lang w:val="nl-BE"/>
        </w:rPr>
      </w:pPr>
    </w:p>
    <w:p w14:paraId="018C0290" w14:textId="53F4C2D0" w:rsidR="00BB21F1" w:rsidRPr="00412EB5" w:rsidRDefault="00BB21F1" w:rsidP="00BB21F1">
      <w:pPr>
        <w:jc w:val="both"/>
        <w:rPr>
          <w:szCs w:val="22"/>
          <w:lang w:val="nl-BE"/>
        </w:rPr>
      </w:pPr>
      <w:r w:rsidRPr="00412EB5">
        <w:rPr>
          <w:szCs w:val="22"/>
          <w:lang w:val="nl-BE"/>
        </w:rPr>
        <w:t xml:space="preserve">Wij zijn van mening dat de door ons verkregen controle-informatie voldoende en geschikt is </w:t>
      </w:r>
      <w:r w:rsidR="0005113F">
        <w:rPr>
          <w:szCs w:val="22"/>
          <w:lang w:val="nl-BE"/>
        </w:rPr>
        <w:t>als basis voor ons oordeel</w:t>
      </w:r>
      <w:r w:rsidRPr="00412EB5">
        <w:rPr>
          <w:szCs w:val="22"/>
          <w:lang w:val="nl-BE"/>
        </w:rPr>
        <w:t>.</w:t>
      </w:r>
    </w:p>
    <w:p w14:paraId="734B00A9" w14:textId="77777777" w:rsidR="00BB21F1" w:rsidRPr="001434A3" w:rsidRDefault="00BB21F1" w:rsidP="00BB21F1">
      <w:pPr>
        <w:jc w:val="both"/>
        <w:rPr>
          <w:rFonts w:asciiTheme="minorHAnsi" w:hAnsiTheme="minorHAnsi"/>
          <w:lang w:val="nl-BE"/>
        </w:rPr>
      </w:pPr>
    </w:p>
    <w:p w14:paraId="0DA0EDBC" w14:textId="7B9ED3CD" w:rsidR="001C2EFF" w:rsidRPr="00FC019C" w:rsidRDefault="001C2EFF" w:rsidP="00FC019C">
      <w:pPr>
        <w:spacing w:after="200" w:line="276" w:lineRule="auto"/>
        <w:rPr>
          <w:rFonts w:ascii="Times New Roman" w:eastAsia="Calibri" w:hAnsi="Times New Roman"/>
          <w:b/>
          <w:i/>
          <w:color w:val="1F497D" w:themeColor="text2"/>
          <w:sz w:val="24"/>
          <w:lang w:val="nl-BE"/>
        </w:rPr>
      </w:pPr>
      <w:r w:rsidRPr="00FC019C">
        <w:rPr>
          <w:rFonts w:ascii="Times New Roman" w:eastAsia="Calibri" w:hAnsi="Times New Roman"/>
          <w:b/>
          <w:i/>
          <w:color w:val="1F497D" w:themeColor="text2"/>
          <w:sz w:val="24"/>
          <w:lang w:val="nl-BE"/>
        </w:rPr>
        <w:t>Verantwoordelijkheid van de [</w:t>
      </w:r>
      <w:r w:rsidR="00FF42B0" w:rsidRPr="00143CD4">
        <w:rPr>
          <w:rFonts w:ascii="Times New Roman" w:eastAsia="Calibri" w:hAnsi="Times New Roman"/>
          <w:b/>
          <w:i/>
          <w:color w:val="1F497D" w:themeColor="text2"/>
          <w:sz w:val="24"/>
          <w:highlight w:val="lightGray"/>
          <w:lang w:val="nl-BE"/>
        </w:rPr>
        <w:t>raad van bestuur</w:t>
      </w:r>
      <w:r w:rsidRPr="00FC019C">
        <w:rPr>
          <w:rFonts w:ascii="Times New Roman" w:eastAsia="Calibri" w:hAnsi="Times New Roman"/>
          <w:b/>
          <w:i/>
          <w:color w:val="1F497D" w:themeColor="text2"/>
          <w:sz w:val="24"/>
          <w:lang w:val="nl-BE"/>
        </w:rPr>
        <w:t xml:space="preserve">] voor het opstellen van de jaarrekening </w:t>
      </w:r>
    </w:p>
    <w:p w14:paraId="719F98EB" w14:textId="17CA45CA" w:rsidR="001C2EFF" w:rsidRDefault="001C2EFF" w:rsidP="00B4712F">
      <w:pPr>
        <w:jc w:val="both"/>
        <w:rPr>
          <w:szCs w:val="22"/>
          <w:lang w:val="nl-BE"/>
        </w:rPr>
      </w:pPr>
      <w:r w:rsidRPr="00412EB5">
        <w:rPr>
          <w:szCs w:val="22"/>
          <w:lang w:val="nl-BE"/>
        </w:rPr>
        <w:t xml:space="preserve">De </w:t>
      </w:r>
      <w:r w:rsidRPr="00143CD4">
        <w:rPr>
          <w:szCs w:val="22"/>
          <w:lang w:val="nl-BE"/>
        </w:rPr>
        <w:t>[</w:t>
      </w:r>
      <w:r w:rsidR="00FF42B0" w:rsidRPr="00143CD4">
        <w:rPr>
          <w:szCs w:val="22"/>
          <w:lang w:val="nl-BE"/>
        </w:rPr>
        <w:t>raad van bestuur</w:t>
      </w:r>
      <w:r w:rsidRPr="00143CD4">
        <w:rPr>
          <w:szCs w:val="22"/>
          <w:lang w:val="nl-BE"/>
        </w:rPr>
        <w:t>]</w:t>
      </w:r>
      <w:r w:rsidRPr="00412EB5">
        <w:rPr>
          <w:szCs w:val="22"/>
          <w:lang w:val="nl-BE"/>
        </w:rPr>
        <w:t xml:space="preserve"> is verantwoordelijk voor het opstellen van de jaarrekening die een getrouw beeld geeft in overeenstemming met het rekendecreet en de </w:t>
      </w:r>
      <w:r w:rsidRPr="00FC019C">
        <w:rPr>
          <w:szCs w:val="22"/>
          <w:lang w:val="nl-BE"/>
        </w:rPr>
        <w:t xml:space="preserve">uitvoeringsbesluiten </w:t>
      </w:r>
      <w:r w:rsidR="000B58F7" w:rsidRPr="00FC019C" w:rsidDel="009447B4">
        <w:rPr>
          <w:szCs w:val="22"/>
          <w:lang w:val="nl-BE"/>
        </w:rPr>
        <w:t xml:space="preserve">ten behoeve van de Vlaamse Regering en het Rekenhof </w:t>
      </w:r>
      <w:r w:rsidR="000B58F7" w:rsidRPr="00143CD4" w:rsidDel="009447B4">
        <w:rPr>
          <w:i/>
          <w:szCs w:val="22"/>
          <w:highlight w:val="lightGray"/>
          <w:lang w:val="nl-BE"/>
        </w:rPr>
        <w:t>[en van de diensten van het Vlaams ministerie, bevoegd voor het financiële en budgettaire beleid, die belast zijn met de opmaak en consolidatie van de algemene rekeningen</w:t>
      </w:r>
      <w:r w:rsidR="000B58F7" w:rsidRPr="00143CD4">
        <w:rPr>
          <w:rFonts w:eastAsia="Calibri"/>
          <w:sz w:val="24"/>
          <w:highlight w:val="lightGray"/>
          <w:vertAlign w:val="superscript"/>
          <w:lang w:val="nl-BE"/>
        </w:rPr>
        <w:t>(</w:t>
      </w:r>
      <w:r w:rsidR="000B58F7" w:rsidRPr="00143CD4">
        <w:rPr>
          <w:rFonts w:eastAsia="Calibri"/>
          <w:sz w:val="24"/>
          <w:highlight w:val="lightGray"/>
          <w:vertAlign w:val="superscript"/>
          <w:lang w:val="nl-BE"/>
        </w:rPr>
        <w:footnoteReference w:id="7"/>
      </w:r>
      <w:r w:rsidR="000B58F7" w:rsidRPr="00143CD4">
        <w:rPr>
          <w:rFonts w:eastAsia="Calibri"/>
          <w:sz w:val="24"/>
          <w:highlight w:val="lightGray"/>
          <w:vertAlign w:val="superscript"/>
          <w:lang w:val="nl-BE"/>
        </w:rPr>
        <w:t>)</w:t>
      </w:r>
      <w:r w:rsidR="000B58F7" w:rsidRPr="00143CD4" w:rsidDel="009447B4">
        <w:rPr>
          <w:i/>
          <w:szCs w:val="22"/>
          <w:highlight w:val="lightGray"/>
          <w:lang w:val="nl-BE"/>
        </w:rPr>
        <w:t>].</w:t>
      </w:r>
      <w:r w:rsidR="000B58F7" w:rsidRPr="00FC019C">
        <w:rPr>
          <w:szCs w:val="22"/>
          <w:lang w:val="nl-BE"/>
        </w:rPr>
        <w:t xml:space="preserve">De </w:t>
      </w:r>
      <w:r w:rsidR="000B58F7" w:rsidRPr="00143CD4">
        <w:rPr>
          <w:szCs w:val="22"/>
          <w:highlight w:val="lightGray"/>
          <w:lang w:val="nl-BE"/>
        </w:rPr>
        <w:t>[raad van bestuur]</w:t>
      </w:r>
      <w:r w:rsidR="000B58F7" w:rsidRPr="00FC019C">
        <w:rPr>
          <w:szCs w:val="22"/>
          <w:lang w:val="nl-BE"/>
        </w:rPr>
        <w:t xml:space="preserve"> is eveneens verantwoordelijk </w:t>
      </w:r>
      <w:r w:rsidRPr="00FC019C">
        <w:rPr>
          <w:szCs w:val="22"/>
          <w:lang w:val="nl-BE"/>
        </w:rPr>
        <w:t xml:space="preserve">voor het implementeren van de interne beheersing die de </w:t>
      </w:r>
      <w:r w:rsidRPr="00143CD4">
        <w:rPr>
          <w:szCs w:val="22"/>
          <w:highlight w:val="lightGray"/>
          <w:lang w:val="nl-BE"/>
        </w:rPr>
        <w:t>[</w:t>
      </w:r>
      <w:r w:rsidR="00FF42B0" w:rsidRPr="00143CD4">
        <w:rPr>
          <w:szCs w:val="22"/>
          <w:highlight w:val="lightGray"/>
          <w:lang w:val="nl-BE"/>
        </w:rPr>
        <w:t>raad van bestuur</w:t>
      </w:r>
      <w:r w:rsidRPr="00143CD4">
        <w:rPr>
          <w:szCs w:val="22"/>
          <w:highlight w:val="lightGray"/>
          <w:lang w:val="nl-BE"/>
        </w:rPr>
        <w:t>]</w:t>
      </w:r>
      <w:r w:rsidRPr="00FC019C">
        <w:rPr>
          <w:szCs w:val="22"/>
          <w:lang w:val="nl-BE"/>
        </w:rPr>
        <w:t xml:space="preserve"> noodzakelijk acht voor het opstellen van de jaarrekening conform het rekendecreet en de uitvoeringsbesluiten die geen afwijking van materieel </w:t>
      </w:r>
      <w:r w:rsidRPr="00412EB5">
        <w:rPr>
          <w:szCs w:val="22"/>
          <w:lang w:val="nl-BE"/>
        </w:rPr>
        <w:t>belang bevat die het gevolg is van fraude of van fouten.</w:t>
      </w:r>
    </w:p>
    <w:p w14:paraId="75C98465" w14:textId="102968B0" w:rsidR="009447B4" w:rsidRPr="00FC019C" w:rsidRDefault="009447B4" w:rsidP="00B4712F">
      <w:pPr>
        <w:jc w:val="both"/>
        <w:rPr>
          <w:szCs w:val="22"/>
          <w:lang w:val="nl-BE"/>
        </w:rPr>
      </w:pPr>
    </w:p>
    <w:p w14:paraId="23C68769" w14:textId="77777777" w:rsidR="001C2EFF" w:rsidRPr="00FC019C" w:rsidRDefault="001112BD" w:rsidP="00FC019C">
      <w:pPr>
        <w:spacing w:after="200" w:line="276" w:lineRule="auto"/>
        <w:rPr>
          <w:rFonts w:ascii="Times New Roman" w:eastAsia="Calibri" w:hAnsi="Times New Roman"/>
          <w:b/>
          <w:i/>
          <w:color w:val="1F497D" w:themeColor="text2"/>
          <w:sz w:val="24"/>
          <w:lang w:val="nl-BE"/>
        </w:rPr>
      </w:pPr>
      <w:r w:rsidRPr="00FC019C">
        <w:rPr>
          <w:rFonts w:ascii="Times New Roman" w:eastAsia="Calibri" w:hAnsi="Times New Roman"/>
          <w:b/>
          <w:i/>
          <w:color w:val="1F497D" w:themeColor="text2"/>
          <w:sz w:val="24"/>
          <w:lang w:val="nl-BE"/>
        </w:rPr>
        <w:t>Verantwoordelijkheid van de [</w:t>
      </w:r>
      <w:r w:rsidRPr="00143CD4">
        <w:rPr>
          <w:rFonts w:ascii="Times New Roman" w:eastAsia="Calibri" w:hAnsi="Times New Roman"/>
          <w:b/>
          <w:i/>
          <w:color w:val="1F497D" w:themeColor="text2"/>
          <w:sz w:val="24"/>
          <w:highlight w:val="lightGray"/>
          <w:lang w:val="nl-BE"/>
        </w:rPr>
        <w:t>bedrijfsrevisor</w:t>
      </w:r>
      <w:r w:rsidRPr="00FC019C">
        <w:rPr>
          <w:rFonts w:ascii="Times New Roman" w:eastAsia="Calibri" w:hAnsi="Times New Roman"/>
          <w:b/>
          <w:i/>
          <w:color w:val="1F497D" w:themeColor="text2"/>
          <w:sz w:val="24"/>
          <w:lang w:val="nl-BE"/>
        </w:rPr>
        <w:t>]</w:t>
      </w:r>
      <w:r w:rsidR="00BB21F1" w:rsidRPr="00FC019C">
        <w:rPr>
          <w:rFonts w:ascii="Times New Roman" w:eastAsia="Calibri" w:hAnsi="Times New Roman"/>
          <w:b/>
          <w:i/>
          <w:color w:val="1F497D" w:themeColor="text2"/>
          <w:sz w:val="24"/>
          <w:lang w:val="nl-BE"/>
        </w:rPr>
        <w:t xml:space="preserve"> voor de controle van de jaarrekening</w:t>
      </w:r>
    </w:p>
    <w:p w14:paraId="123B2C5F" w14:textId="0D37EB42" w:rsidR="00BB21F1" w:rsidRPr="00FC019C" w:rsidRDefault="00BB21F1" w:rsidP="00BB21F1">
      <w:pPr>
        <w:jc w:val="both"/>
        <w:rPr>
          <w:rFonts w:asciiTheme="minorHAnsi" w:hAnsiTheme="minorHAnsi"/>
          <w:lang w:val="nl-BE"/>
        </w:rPr>
      </w:pPr>
      <w:r w:rsidRPr="00FC019C">
        <w:rPr>
          <w:rFonts w:asciiTheme="minorHAnsi" w:hAnsiTheme="minorHAnsi"/>
          <w:lang w:val="nl-BE"/>
        </w:rPr>
        <w:t>Onze doelstellingen zijn het verkrijgen van een redelijke mate van zekerheid over de vraag of de jaarrekening</w:t>
      </w:r>
      <w:r w:rsidR="0005113F" w:rsidRPr="00FC019C">
        <w:rPr>
          <w:rFonts w:asciiTheme="minorHAnsi" w:hAnsiTheme="minorHAnsi"/>
          <w:lang w:val="nl-BE"/>
        </w:rPr>
        <w:t xml:space="preserve"> </w:t>
      </w:r>
      <w:r w:rsidR="0005113F" w:rsidRPr="000B58F7">
        <w:rPr>
          <w:rFonts w:asciiTheme="minorHAnsi" w:hAnsiTheme="minorHAnsi"/>
          <w:lang w:val="nl-BE"/>
        </w:rPr>
        <w:t>conform het rekendecreet en haar uitvoeringsbesluiten</w:t>
      </w:r>
      <w:r w:rsidRPr="00FC019C">
        <w:rPr>
          <w:rFonts w:asciiTheme="minorHAnsi" w:hAnsiTheme="minorHAnsi"/>
          <w:lang w:val="nl-BE"/>
        </w:rPr>
        <w:t xml:space="preserve"> als geheel geen afwijking van materieel belang bevat die het gevolg is van fraude of van fouten en het uitbrengen van een </w:t>
      </w:r>
      <w:r w:rsidR="000B58F7">
        <w:rPr>
          <w:rFonts w:asciiTheme="minorHAnsi" w:hAnsiTheme="minorHAnsi"/>
          <w:lang w:val="nl-BE"/>
        </w:rPr>
        <w:t>[</w:t>
      </w:r>
      <w:r w:rsidR="0005113F" w:rsidRPr="00143CD4">
        <w:rPr>
          <w:szCs w:val="22"/>
          <w:highlight w:val="lightGray"/>
          <w:lang w:val="nl-BE"/>
        </w:rPr>
        <w:t>verslag van de bedrijfsrevisor/</w:t>
      </w:r>
      <w:r w:rsidRPr="00143CD4">
        <w:rPr>
          <w:szCs w:val="22"/>
          <w:highlight w:val="lightGray"/>
          <w:lang w:val="nl-BE"/>
        </w:rPr>
        <w:t>commissarisverslag</w:t>
      </w:r>
      <w:r w:rsidR="000B58F7">
        <w:rPr>
          <w:rFonts w:asciiTheme="minorHAnsi" w:hAnsiTheme="minorHAnsi"/>
          <w:lang w:val="nl-BE"/>
        </w:rPr>
        <w:t>]</w:t>
      </w:r>
      <w:r w:rsidRPr="000B58F7">
        <w:rPr>
          <w:rFonts w:asciiTheme="minorHAnsi" w:hAnsiTheme="minorHAnsi"/>
          <w:lang w:val="nl-BE"/>
        </w:rPr>
        <w:t xml:space="preserve"> </w:t>
      </w:r>
      <w:r w:rsidRPr="00FC019C">
        <w:rPr>
          <w:rFonts w:asciiTheme="minorHAnsi" w:hAnsiTheme="minorHAnsi"/>
          <w:lang w:val="nl-BE"/>
        </w:rPr>
        <w:t>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0321F44F" w14:textId="77777777" w:rsidR="00BB21F1" w:rsidRPr="00FC019C" w:rsidRDefault="00BB21F1" w:rsidP="00BB21F1">
      <w:pPr>
        <w:jc w:val="both"/>
        <w:rPr>
          <w:rFonts w:asciiTheme="minorHAnsi" w:hAnsiTheme="minorHAnsi"/>
          <w:b/>
          <w:i/>
          <w:lang w:val="nl-BE"/>
        </w:rPr>
      </w:pPr>
    </w:p>
    <w:p w14:paraId="29FB8963" w14:textId="77777777" w:rsidR="00BB21F1" w:rsidRPr="00FC019C" w:rsidRDefault="00BB21F1" w:rsidP="00BB21F1">
      <w:pPr>
        <w:spacing w:after="120"/>
        <w:jc w:val="both"/>
        <w:rPr>
          <w:rFonts w:asciiTheme="minorHAnsi" w:hAnsiTheme="minorHAnsi"/>
          <w:lang w:val="nl-BE"/>
        </w:rPr>
      </w:pPr>
      <w:r w:rsidRPr="00FC019C">
        <w:rPr>
          <w:rFonts w:asciiTheme="minorHAnsi" w:hAnsiTheme="minorHAnsi"/>
          <w:lang w:val="nl-BE"/>
        </w:rPr>
        <w:t>Als deel van een controle uitgevoerd overeenkomstig de ISA’s, passen wij professionele oordeelsvorming toe en handhaven wij een professioneel-kritische instelling gedurende de controle. We voeren tevens de volgende werkzaamheden uit:</w:t>
      </w:r>
    </w:p>
    <w:p w14:paraId="31D25D0E" w14:textId="77777777" w:rsidR="00BB21F1" w:rsidRPr="00FC019C" w:rsidRDefault="00BB21F1" w:rsidP="00BB21F1">
      <w:pPr>
        <w:numPr>
          <w:ilvl w:val="0"/>
          <w:numId w:val="5"/>
        </w:numPr>
        <w:spacing w:after="120"/>
        <w:ind w:left="426" w:hanging="426"/>
        <w:jc w:val="both"/>
        <w:rPr>
          <w:rFonts w:asciiTheme="minorHAnsi" w:hAnsiTheme="minorHAnsi"/>
          <w:lang w:val="nl-BE"/>
        </w:rPr>
      </w:pPr>
      <w:r w:rsidRPr="00FC019C">
        <w:rPr>
          <w:rFonts w:asciiTheme="minorHAnsi" w:hAnsiTheme="minorHAnsi"/>
          <w:lang w:val="nl-BE"/>
        </w:rPr>
        <w:lastRenderedPageBreak/>
        <w:t>het identificeren en inschatten van de risico’s dat de jaarrekening </w:t>
      </w:r>
      <w:r w:rsidR="009B16DD" w:rsidRPr="000B58F7">
        <w:rPr>
          <w:szCs w:val="22"/>
          <w:lang w:val="nl-BE"/>
        </w:rPr>
        <w:t xml:space="preserve">conform het rekendecreet en de uitvoeringsbesluiten </w:t>
      </w:r>
      <w:r w:rsidRPr="00FC019C">
        <w:rPr>
          <w:rFonts w:asciiTheme="minorHAnsi" w:hAnsiTheme="minorHAnsi"/>
          <w:lang w:val="nl-BE"/>
        </w:rPr>
        <w:t>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 ;</w:t>
      </w:r>
    </w:p>
    <w:p w14:paraId="6E489D80" w14:textId="625FED77" w:rsidR="00BB21F1" w:rsidRPr="00FC019C" w:rsidRDefault="00BB21F1" w:rsidP="00BB21F1">
      <w:pPr>
        <w:numPr>
          <w:ilvl w:val="0"/>
          <w:numId w:val="5"/>
        </w:numPr>
        <w:spacing w:after="120"/>
        <w:ind w:left="426" w:hanging="426"/>
        <w:jc w:val="both"/>
        <w:rPr>
          <w:rFonts w:asciiTheme="minorHAnsi" w:hAnsiTheme="minorHAnsi"/>
          <w:lang w:val="nl-BE"/>
        </w:rPr>
      </w:pPr>
      <w:r w:rsidRPr="00FC019C">
        <w:rPr>
          <w:rFonts w:asciiTheme="minorHAnsi" w:hAnsiTheme="minorHAnsi"/>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w:t>
      </w:r>
      <w:r w:rsidR="009B16DD" w:rsidRPr="00FC019C">
        <w:rPr>
          <w:rFonts w:asciiTheme="minorHAnsi" w:hAnsiTheme="minorHAnsi"/>
          <w:lang w:val="nl-BE"/>
        </w:rPr>
        <w:t>n de instelling</w:t>
      </w:r>
      <w:r w:rsidRPr="00FC019C">
        <w:rPr>
          <w:rFonts w:asciiTheme="minorHAnsi" w:hAnsiTheme="minorHAnsi"/>
          <w:lang w:val="nl-BE"/>
        </w:rPr>
        <w:t> ;</w:t>
      </w:r>
      <w:r w:rsidR="002C2866" w:rsidRPr="002C2866">
        <w:rPr>
          <w:rFonts w:eastAsia="Calibri"/>
          <w:sz w:val="24"/>
          <w:vertAlign w:val="superscript"/>
          <w:lang w:val="nl-BE"/>
        </w:rPr>
        <w:t xml:space="preserve"> </w:t>
      </w:r>
      <w:r w:rsidR="002C2866" w:rsidRPr="002C2866">
        <w:rPr>
          <w:rFonts w:eastAsia="Calibri"/>
          <w:sz w:val="24"/>
          <w:vertAlign w:val="superscript"/>
          <w:lang w:val="nl-BE"/>
        </w:rPr>
        <w:footnoteReference w:id="8"/>
      </w:r>
    </w:p>
    <w:p w14:paraId="72CF3946" w14:textId="77777777" w:rsidR="00BB21F1" w:rsidRPr="00FC019C" w:rsidRDefault="00BB21F1" w:rsidP="00BB21F1">
      <w:pPr>
        <w:numPr>
          <w:ilvl w:val="0"/>
          <w:numId w:val="5"/>
        </w:numPr>
        <w:spacing w:after="120"/>
        <w:ind w:left="426" w:hanging="426"/>
        <w:jc w:val="both"/>
        <w:rPr>
          <w:rFonts w:asciiTheme="minorHAnsi" w:hAnsiTheme="minorHAnsi"/>
          <w:lang w:val="nl-BE"/>
        </w:rPr>
      </w:pPr>
      <w:r w:rsidRPr="00FC019C">
        <w:rPr>
          <w:rFonts w:asciiTheme="minorHAnsi" w:hAnsiTheme="minorHAnsi"/>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15B9DCFC" w14:textId="6B46C527" w:rsidR="00BB21F1" w:rsidRPr="00FC019C" w:rsidRDefault="00BB21F1" w:rsidP="00BB21F1">
      <w:pPr>
        <w:numPr>
          <w:ilvl w:val="0"/>
          <w:numId w:val="5"/>
        </w:numPr>
        <w:ind w:left="426" w:hanging="426"/>
        <w:jc w:val="both"/>
        <w:rPr>
          <w:rFonts w:asciiTheme="minorHAnsi" w:hAnsiTheme="minorHAnsi"/>
          <w:lang w:val="nl-BE"/>
        </w:rPr>
      </w:pPr>
      <w:r w:rsidRPr="00FC019C">
        <w:rPr>
          <w:rFonts w:asciiTheme="minorHAnsi" w:hAnsiTheme="minorHAnsi"/>
          <w:lang w:val="nl-BE"/>
        </w:rPr>
        <w:t xml:space="preserve">het evalueren van de algehele presentatie, structuur en inhoud van de jaarrekening, en van de vraag of de jaarrekening de onderliggende transacties en gebeurtenissen </w:t>
      </w:r>
      <w:r w:rsidR="000B58F7">
        <w:rPr>
          <w:rFonts w:asciiTheme="minorHAnsi" w:hAnsiTheme="minorHAnsi"/>
          <w:lang w:val="nl-BE"/>
        </w:rPr>
        <w:t>weergeeft</w:t>
      </w:r>
      <w:r w:rsidR="000B58F7" w:rsidRPr="00FC019C">
        <w:rPr>
          <w:rFonts w:asciiTheme="minorHAnsi" w:hAnsiTheme="minorHAnsi"/>
          <w:lang w:val="nl-BE"/>
        </w:rPr>
        <w:t xml:space="preserve"> </w:t>
      </w:r>
      <w:r w:rsidRPr="00FC019C">
        <w:rPr>
          <w:rFonts w:asciiTheme="minorHAnsi" w:hAnsiTheme="minorHAnsi"/>
          <w:lang w:val="nl-BE"/>
        </w:rPr>
        <w:t xml:space="preserve">op een wijze die leidt tot een getrouw beeld. </w:t>
      </w:r>
    </w:p>
    <w:p w14:paraId="165F663F" w14:textId="77777777" w:rsidR="00BB21F1" w:rsidRPr="00FC019C" w:rsidRDefault="00BB21F1" w:rsidP="00BB21F1">
      <w:pPr>
        <w:jc w:val="both"/>
        <w:rPr>
          <w:rFonts w:asciiTheme="minorHAnsi" w:hAnsiTheme="minorHAnsi"/>
          <w:lang w:val="nl-BE"/>
        </w:rPr>
      </w:pPr>
    </w:p>
    <w:p w14:paraId="64E2494A" w14:textId="77777777" w:rsidR="00BB21F1" w:rsidRPr="00FC019C" w:rsidRDefault="00BB21F1" w:rsidP="00BB21F1">
      <w:pPr>
        <w:jc w:val="both"/>
        <w:rPr>
          <w:rFonts w:asciiTheme="minorHAnsi" w:hAnsiTheme="minorHAnsi"/>
          <w:lang w:val="nl-BE"/>
        </w:rPr>
      </w:pPr>
      <w:r w:rsidRPr="00FC019C">
        <w:rPr>
          <w:rFonts w:asciiTheme="minorHAnsi" w:hAnsiTheme="minorHAnsi"/>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582283E2" w14:textId="77777777" w:rsidR="00BB21F1" w:rsidRPr="000B58F7" w:rsidRDefault="00BB21F1" w:rsidP="00B4712F">
      <w:pPr>
        <w:jc w:val="both"/>
        <w:rPr>
          <w:szCs w:val="22"/>
          <w:lang w:val="nl-BE"/>
        </w:rPr>
      </w:pPr>
    </w:p>
    <w:p w14:paraId="4232DA79" w14:textId="4F48666A" w:rsidR="00E009A2" w:rsidRPr="00FC019C" w:rsidRDefault="004B501B" w:rsidP="00FC019C">
      <w:pPr>
        <w:spacing w:after="200" w:line="276" w:lineRule="auto"/>
        <w:rPr>
          <w:rFonts w:ascii="Times New Roman" w:eastAsia="Calibri" w:hAnsi="Times New Roman"/>
          <w:b/>
          <w:i/>
          <w:color w:val="1F497D" w:themeColor="text2"/>
          <w:sz w:val="24"/>
          <w:lang w:val="nl-BE"/>
        </w:rPr>
      </w:pPr>
      <w:r>
        <w:rPr>
          <w:rFonts w:ascii="Times New Roman" w:eastAsia="Calibri" w:hAnsi="Times New Roman"/>
          <w:b/>
          <w:i/>
          <w:color w:val="1F497D" w:themeColor="text2"/>
          <w:sz w:val="24"/>
          <w:lang w:val="nl-BE"/>
        </w:rPr>
        <w:t>Benadrukking van een bepaalde</w:t>
      </w:r>
      <w:r w:rsidR="002C2866">
        <w:rPr>
          <w:rFonts w:ascii="Times New Roman" w:eastAsia="Calibri" w:hAnsi="Times New Roman"/>
          <w:b/>
          <w:i/>
          <w:color w:val="1F497D" w:themeColor="text2"/>
          <w:sz w:val="24"/>
          <w:lang w:val="nl-BE"/>
        </w:rPr>
        <w:t xml:space="preserve"> aangelegenheid - </w:t>
      </w:r>
      <w:r w:rsidR="00E009A2" w:rsidRPr="00FC019C">
        <w:rPr>
          <w:rFonts w:ascii="Times New Roman" w:eastAsia="Calibri" w:hAnsi="Times New Roman"/>
          <w:b/>
          <w:i/>
          <w:color w:val="1F497D" w:themeColor="text2"/>
          <w:sz w:val="24"/>
          <w:lang w:val="nl-BE"/>
        </w:rPr>
        <w:t>Bepaling inzake financiële verslaggeving</w:t>
      </w:r>
    </w:p>
    <w:p w14:paraId="3A45B481" w14:textId="77777777" w:rsidR="00E009A2" w:rsidRPr="00412EB5" w:rsidRDefault="00E009A2" w:rsidP="00B4712F">
      <w:pPr>
        <w:jc w:val="both"/>
        <w:rPr>
          <w:szCs w:val="22"/>
          <w:lang w:val="nl-BE"/>
        </w:rPr>
      </w:pPr>
      <w:r w:rsidRPr="00412EB5">
        <w:rPr>
          <w:szCs w:val="22"/>
          <w:lang w:val="nl-BE"/>
        </w:rPr>
        <w:t>Aangezien de jaarrekening werd opgesteld in overeenstemming met het rekendecreet en de uitvoeringsbesluiten en in het kader van de doelstellingen van dit referentiekader, is de jaarrekening niet geschikt voor andere doeleinden.</w:t>
      </w:r>
    </w:p>
    <w:p w14:paraId="1F2A970D" w14:textId="77777777" w:rsidR="00E009A2" w:rsidRPr="00412EB5" w:rsidRDefault="00E009A2" w:rsidP="00B4712F">
      <w:pPr>
        <w:jc w:val="both"/>
        <w:rPr>
          <w:szCs w:val="22"/>
          <w:lang w:val="nl-BE"/>
        </w:rPr>
      </w:pPr>
    </w:p>
    <w:p w14:paraId="440D4B0E" w14:textId="77777777" w:rsidR="00E009A2" w:rsidRPr="00FC019C" w:rsidRDefault="00E009A2" w:rsidP="00FC019C">
      <w:pPr>
        <w:spacing w:after="200" w:line="276" w:lineRule="auto"/>
        <w:rPr>
          <w:rFonts w:ascii="Times New Roman" w:eastAsia="Calibri" w:hAnsi="Times New Roman"/>
          <w:b/>
          <w:color w:val="1F497D" w:themeColor="text2"/>
          <w:sz w:val="28"/>
          <w:szCs w:val="28"/>
          <w:lang w:val="nl-BE"/>
        </w:rPr>
      </w:pPr>
      <w:r w:rsidRPr="00FC019C">
        <w:rPr>
          <w:rFonts w:ascii="Times New Roman" w:eastAsia="Calibri" w:hAnsi="Times New Roman"/>
          <w:b/>
          <w:color w:val="1F497D" w:themeColor="text2"/>
          <w:sz w:val="28"/>
          <w:szCs w:val="28"/>
          <w:lang w:val="nl-BE"/>
        </w:rPr>
        <w:t xml:space="preserve">Verslag betreffende overige door wet- en </w:t>
      </w:r>
      <w:r w:rsidR="00BB21F1" w:rsidRPr="00FC019C">
        <w:rPr>
          <w:rFonts w:ascii="Times New Roman" w:eastAsia="Calibri" w:hAnsi="Times New Roman"/>
          <w:b/>
          <w:color w:val="1F497D" w:themeColor="text2"/>
          <w:sz w:val="28"/>
          <w:szCs w:val="28"/>
          <w:lang w:val="nl-BE"/>
        </w:rPr>
        <w:t>r</w:t>
      </w:r>
      <w:r w:rsidRPr="00FC019C">
        <w:rPr>
          <w:rFonts w:ascii="Times New Roman" w:eastAsia="Calibri" w:hAnsi="Times New Roman"/>
          <w:b/>
          <w:color w:val="1F497D" w:themeColor="text2"/>
          <w:sz w:val="28"/>
          <w:szCs w:val="28"/>
          <w:lang w:val="nl-BE"/>
        </w:rPr>
        <w:t>egelgeving gestelde eisen</w:t>
      </w:r>
    </w:p>
    <w:p w14:paraId="586524C8" w14:textId="1506609B" w:rsidR="00BB21F1" w:rsidRPr="00FC019C" w:rsidRDefault="00BB21F1" w:rsidP="00FC019C">
      <w:pPr>
        <w:spacing w:after="200" w:line="276" w:lineRule="auto"/>
        <w:rPr>
          <w:rFonts w:ascii="Times New Roman" w:eastAsia="Calibri" w:hAnsi="Times New Roman"/>
          <w:b/>
          <w:i/>
          <w:color w:val="1F497D" w:themeColor="text2"/>
          <w:sz w:val="24"/>
          <w:lang w:val="nl-BE"/>
        </w:rPr>
      </w:pPr>
      <w:r w:rsidRPr="00FC019C">
        <w:rPr>
          <w:rFonts w:ascii="Times New Roman" w:eastAsia="Calibri" w:hAnsi="Times New Roman"/>
          <w:b/>
          <w:i/>
          <w:color w:val="1F497D" w:themeColor="text2"/>
          <w:sz w:val="24"/>
          <w:lang w:val="nl-BE"/>
        </w:rPr>
        <w:t xml:space="preserve">Verantwoordelijkheden van </w:t>
      </w:r>
      <w:r w:rsidR="002C2866">
        <w:rPr>
          <w:rFonts w:ascii="Times New Roman" w:eastAsia="Calibri" w:hAnsi="Times New Roman"/>
          <w:b/>
          <w:i/>
          <w:color w:val="1F497D" w:themeColor="text2"/>
          <w:sz w:val="24"/>
          <w:lang w:val="nl-BE"/>
        </w:rPr>
        <w:t>[</w:t>
      </w:r>
      <w:r w:rsidR="002C2866" w:rsidRPr="00143CD4">
        <w:rPr>
          <w:rFonts w:ascii="Times New Roman" w:eastAsia="Calibri" w:hAnsi="Times New Roman"/>
          <w:b/>
          <w:i/>
          <w:color w:val="1F497D" w:themeColor="text2"/>
          <w:sz w:val="24"/>
          <w:highlight w:val="lightGray"/>
          <w:lang w:val="nl-BE"/>
        </w:rPr>
        <w:t>de raad van bestuur</w:t>
      </w:r>
      <w:r w:rsidR="002C2866" w:rsidRPr="00143CD4">
        <w:rPr>
          <w:rFonts w:eastAsia="Calibri"/>
          <w:sz w:val="24"/>
          <w:highlight w:val="lightGray"/>
          <w:vertAlign w:val="superscript"/>
          <w:lang w:val="nl-BE"/>
        </w:rPr>
        <w:t>(</w:t>
      </w:r>
      <w:r w:rsidR="002C2866" w:rsidRPr="00143CD4">
        <w:rPr>
          <w:rFonts w:eastAsia="Calibri"/>
          <w:sz w:val="24"/>
          <w:highlight w:val="lightGray"/>
          <w:vertAlign w:val="superscript"/>
          <w:lang w:val="nl-BE"/>
        </w:rPr>
        <w:footnoteReference w:id="9"/>
      </w:r>
      <w:r w:rsidR="002C2866" w:rsidRPr="00143CD4">
        <w:rPr>
          <w:rFonts w:eastAsia="Calibri"/>
          <w:sz w:val="24"/>
          <w:highlight w:val="lightGray"/>
          <w:vertAlign w:val="superscript"/>
          <w:lang w:val="nl-BE"/>
        </w:rPr>
        <w:t>)</w:t>
      </w:r>
      <w:r w:rsidR="002C2866">
        <w:rPr>
          <w:rFonts w:ascii="Times New Roman" w:eastAsia="Calibri" w:hAnsi="Times New Roman"/>
          <w:b/>
          <w:i/>
          <w:color w:val="1F497D" w:themeColor="text2"/>
          <w:sz w:val="24"/>
          <w:lang w:val="nl-BE"/>
        </w:rPr>
        <w:t>]</w:t>
      </w:r>
    </w:p>
    <w:p w14:paraId="4538F7E7" w14:textId="1A7CCDD2" w:rsidR="004012CD" w:rsidRDefault="002C2866" w:rsidP="00D25EA6">
      <w:pPr>
        <w:jc w:val="both"/>
        <w:rPr>
          <w:rFonts w:cs="Calibri"/>
          <w:szCs w:val="22"/>
          <w:lang w:val="nl-BE"/>
        </w:rPr>
      </w:pPr>
      <w:r>
        <w:rPr>
          <w:rFonts w:cs="Calibri"/>
          <w:szCs w:val="22"/>
          <w:lang w:val="nl-BE"/>
        </w:rPr>
        <w:t>De [</w:t>
      </w:r>
      <w:r w:rsidRPr="00143CD4">
        <w:rPr>
          <w:szCs w:val="22"/>
          <w:highlight w:val="lightGray"/>
          <w:lang w:val="nl-BE"/>
        </w:rPr>
        <w:t>raad van bestuur</w:t>
      </w:r>
      <w:r>
        <w:rPr>
          <w:rFonts w:cs="Calibri"/>
          <w:szCs w:val="22"/>
          <w:lang w:val="nl-BE"/>
        </w:rPr>
        <w:t>]</w:t>
      </w:r>
      <w:r w:rsidR="004012CD" w:rsidRPr="00412EB5">
        <w:rPr>
          <w:rFonts w:cs="Calibri"/>
          <w:szCs w:val="22"/>
          <w:lang w:val="nl-BE"/>
        </w:rPr>
        <w:t xml:space="preserve"> is verantwoordelijk voor </w:t>
      </w:r>
      <w:r w:rsidR="00D567C2">
        <w:rPr>
          <w:rFonts w:cs="Calibri"/>
          <w:szCs w:val="22"/>
          <w:lang w:val="nl-BE"/>
        </w:rPr>
        <w:t>[</w:t>
      </w:r>
      <w:r w:rsidR="00D567C2" w:rsidRPr="00FC019C">
        <w:rPr>
          <w:rFonts w:asciiTheme="minorHAnsi" w:hAnsiTheme="minorHAnsi" w:cstheme="minorHAnsi"/>
          <w:szCs w:val="22"/>
          <w:highlight w:val="lightGray"/>
          <w:lang w:val="nl-BE"/>
        </w:rPr>
        <w:t>het opstellen en de inhoud van</w:t>
      </w:r>
      <w:r w:rsidR="00D567C2">
        <w:rPr>
          <w:rFonts w:asciiTheme="minorHAnsi" w:hAnsiTheme="minorHAnsi" w:cstheme="minorHAnsi"/>
          <w:szCs w:val="22"/>
          <w:lang w:val="nl-BE"/>
        </w:rPr>
        <w:t>]</w:t>
      </w:r>
      <w:r w:rsidR="00D567C2" w:rsidRPr="00FC019C">
        <w:rPr>
          <w:rFonts w:asciiTheme="minorHAnsi" w:hAnsiTheme="minorHAnsi" w:cstheme="minorHAnsi"/>
          <w:szCs w:val="22"/>
          <w:lang w:val="nl-BE"/>
        </w:rPr>
        <w:t xml:space="preserve"> </w:t>
      </w:r>
      <w:r w:rsidR="00D567C2">
        <w:rPr>
          <w:rFonts w:asciiTheme="minorHAnsi" w:hAnsiTheme="minorHAnsi" w:cstheme="minorHAnsi"/>
          <w:szCs w:val="22"/>
          <w:highlight w:val="lightGray"/>
          <w:lang w:val="nl-BE"/>
        </w:rPr>
        <w:t>[</w:t>
      </w:r>
      <w:r w:rsidR="00D567C2" w:rsidRPr="00FC019C">
        <w:rPr>
          <w:rFonts w:asciiTheme="minorHAnsi" w:hAnsiTheme="minorHAnsi" w:cstheme="minorHAnsi"/>
          <w:szCs w:val="22"/>
          <w:highlight w:val="lightGray"/>
          <w:lang w:val="nl-BE"/>
        </w:rPr>
        <w:t>de andere informatie opgenomen in het jaarrapport/het activiteitenverslag en</w:t>
      </w:r>
      <w:r w:rsidR="00D567C2" w:rsidRPr="00FC019C">
        <w:rPr>
          <w:rFonts w:asciiTheme="minorHAnsi" w:hAnsiTheme="minorHAnsi" w:cstheme="minorHAnsi"/>
          <w:szCs w:val="22"/>
          <w:lang w:val="nl-BE"/>
        </w:rPr>
        <w:t>]</w:t>
      </w:r>
      <w:r w:rsidR="00D567C2">
        <w:rPr>
          <w:rFonts w:asciiTheme="minorHAnsi" w:hAnsiTheme="minorHAnsi" w:cstheme="minorHAnsi"/>
          <w:szCs w:val="22"/>
          <w:lang w:val="nl-BE"/>
        </w:rPr>
        <w:t xml:space="preserve"> </w:t>
      </w:r>
      <w:r w:rsidR="00D567C2" w:rsidRPr="00D567C2">
        <w:rPr>
          <w:rFonts w:asciiTheme="minorHAnsi" w:hAnsiTheme="minorHAnsi" w:cstheme="minorHAnsi"/>
          <w:szCs w:val="22"/>
          <w:lang w:val="nl-BE"/>
        </w:rPr>
        <w:t>[</w:t>
      </w:r>
      <w:r w:rsidR="00D567C2" w:rsidRPr="00FC019C">
        <w:rPr>
          <w:rFonts w:asciiTheme="minorHAnsi" w:hAnsiTheme="minorHAnsi" w:cstheme="minorHAnsi"/>
          <w:szCs w:val="22"/>
          <w:highlight w:val="lightGray"/>
          <w:lang w:val="nl-BE"/>
        </w:rPr>
        <w:t>de documenten die overeenkomstig de wettelijke en bestuursrechtelijke voorschriften dienen te worden neergelegd,</w:t>
      </w:r>
      <w:r w:rsidR="00D567C2">
        <w:rPr>
          <w:rFonts w:asciiTheme="minorHAnsi" w:hAnsiTheme="minorHAnsi" w:cstheme="minorHAnsi"/>
          <w:szCs w:val="22"/>
          <w:lang w:val="nl-BE"/>
        </w:rPr>
        <w:t xml:space="preserve"> </w:t>
      </w:r>
      <w:r w:rsidR="00D567C2" w:rsidRPr="00FC019C">
        <w:rPr>
          <w:rFonts w:asciiTheme="minorHAnsi" w:hAnsiTheme="minorHAnsi" w:cstheme="minorHAnsi"/>
          <w:szCs w:val="22"/>
          <w:highlight w:val="lightGray"/>
          <w:lang w:val="nl-BE"/>
        </w:rPr>
        <w:t>alsook voor</w:t>
      </w:r>
      <w:r w:rsidR="00D567C2" w:rsidRPr="00FC019C">
        <w:rPr>
          <w:rFonts w:asciiTheme="minorHAnsi" w:hAnsiTheme="minorHAnsi" w:cstheme="minorHAnsi"/>
          <w:szCs w:val="22"/>
          <w:lang w:val="nl-BE"/>
        </w:rPr>
        <w:t xml:space="preserve">] </w:t>
      </w:r>
      <w:r w:rsidR="004012CD" w:rsidRPr="00FC019C">
        <w:rPr>
          <w:rFonts w:asciiTheme="minorHAnsi" w:hAnsiTheme="minorHAnsi" w:cstheme="minorHAnsi"/>
          <w:szCs w:val="22"/>
          <w:lang w:val="nl-BE"/>
        </w:rPr>
        <w:t>het</w:t>
      </w:r>
      <w:r w:rsidR="004012CD" w:rsidRPr="00412EB5">
        <w:rPr>
          <w:rFonts w:cs="Calibri"/>
          <w:szCs w:val="22"/>
          <w:lang w:val="nl-BE"/>
        </w:rPr>
        <w:t xml:space="preserve"> naleven </w:t>
      </w:r>
      <w:r w:rsidR="004012CD" w:rsidRPr="00412EB5">
        <w:rPr>
          <w:rFonts w:cs="Calibri"/>
          <w:szCs w:val="22"/>
          <w:lang w:val="nl-BE"/>
        </w:rPr>
        <w:lastRenderedPageBreak/>
        <w:t>van het oprichtingsdecreet en van de bepalingen uit het rekendecreet en de uitvoeringsbesluiten daarvan, alsmede van de statuten en van de wettelijke en bestuursrechtelijke voorschriften die van toepassing zijn op het voeren van de boekhouding.</w:t>
      </w:r>
      <w:r w:rsidR="000B58F7">
        <w:rPr>
          <w:rFonts w:cs="Calibri"/>
          <w:szCs w:val="22"/>
          <w:lang w:val="nl-BE"/>
        </w:rPr>
        <w:t xml:space="preserve"> </w:t>
      </w:r>
    </w:p>
    <w:p w14:paraId="40F0AAC2" w14:textId="246B7DD4" w:rsidR="002B58B4" w:rsidRDefault="002B58B4" w:rsidP="00D25EA6">
      <w:pPr>
        <w:jc w:val="both"/>
        <w:rPr>
          <w:rFonts w:cs="Calibri"/>
          <w:szCs w:val="22"/>
          <w:lang w:val="nl-BE"/>
        </w:rPr>
      </w:pPr>
    </w:p>
    <w:p w14:paraId="4AC6FC8A" w14:textId="77777777" w:rsidR="002B58B4" w:rsidRDefault="002B58B4" w:rsidP="00D25EA6">
      <w:pPr>
        <w:jc w:val="both"/>
        <w:rPr>
          <w:rFonts w:cs="Calibri"/>
          <w:szCs w:val="22"/>
          <w:lang w:val="nl-BE"/>
        </w:rPr>
      </w:pPr>
    </w:p>
    <w:p w14:paraId="358B2A24" w14:textId="77777777" w:rsidR="00BB21F1" w:rsidRDefault="00BB21F1" w:rsidP="00D25EA6">
      <w:pPr>
        <w:jc w:val="both"/>
        <w:rPr>
          <w:rFonts w:cs="Calibri"/>
          <w:szCs w:val="22"/>
          <w:lang w:val="nl-BE"/>
        </w:rPr>
      </w:pPr>
    </w:p>
    <w:p w14:paraId="36DC7D06" w14:textId="77777777" w:rsidR="00BB21F1" w:rsidRPr="00FC019C" w:rsidRDefault="00BB21F1" w:rsidP="00FC019C">
      <w:pPr>
        <w:spacing w:after="200" w:line="276" w:lineRule="auto"/>
        <w:rPr>
          <w:rFonts w:ascii="Times New Roman" w:eastAsia="Calibri" w:hAnsi="Times New Roman"/>
          <w:b/>
          <w:i/>
          <w:color w:val="1F497D" w:themeColor="text2"/>
          <w:sz w:val="24"/>
          <w:lang w:val="nl-BE"/>
        </w:rPr>
      </w:pPr>
      <w:r w:rsidRPr="00FC019C">
        <w:rPr>
          <w:rFonts w:ascii="Times New Roman" w:eastAsia="Calibri" w:hAnsi="Times New Roman"/>
          <w:b/>
          <w:i/>
          <w:color w:val="1F497D" w:themeColor="text2"/>
          <w:sz w:val="24"/>
          <w:lang w:val="nl-BE"/>
        </w:rPr>
        <w:t>Verantwoordelijkheden van de [</w:t>
      </w:r>
      <w:r w:rsidRPr="00143CD4">
        <w:rPr>
          <w:rFonts w:ascii="Times New Roman" w:eastAsia="Calibri" w:hAnsi="Times New Roman"/>
          <w:b/>
          <w:i/>
          <w:color w:val="1F497D" w:themeColor="text2"/>
          <w:sz w:val="24"/>
          <w:highlight w:val="lightGray"/>
          <w:lang w:val="nl-BE"/>
        </w:rPr>
        <w:t>bedrijfsrevisor</w:t>
      </w:r>
      <w:r w:rsidRPr="00FC019C">
        <w:rPr>
          <w:rFonts w:ascii="Times New Roman" w:eastAsia="Calibri" w:hAnsi="Times New Roman"/>
          <w:b/>
          <w:i/>
          <w:color w:val="1F497D" w:themeColor="text2"/>
          <w:sz w:val="24"/>
          <w:lang w:val="nl-BE"/>
        </w:rPr>
        <w:t>]</w:t>
      </w:r>
    </w:p>
    <w:p w14:paraId="43B50FC5" w14:textId="77777777" w:rsidR="004012CD" w:rsidRPr="00412EB5" w:rsidRDefault="004012CD" w:rsidP="00D25EA6">
      <w:pPr>
        <w:jc w:val="both"/>
        <w:rPr>
          <w:rFonts w:cs="Calibri"/>
          <w:szCs w:val="22"/>
          <w:lang w:val="nl-BE"/>
        </w:rPr>
      </w:pPr>
    </w:p>
    <w:p w14:paraId="732876BB" w14:textId="17D572FA" w:rsidR="009B5C74" w:rsidRPr="002B58B4" w:rsidRDefault="004012CD" w:rsidP="00D25EA6">
      <w:pPr>
        <w:spacing w:after="120"/>
        <w:jc w:val="both"/>
        <w:rPr>
          <w:rFonts w:cs="Calibri"/>
          <w:szCs w:val="22"/>
          <w:lang w:val="nl-BE"/>
        </w:rPr>
      </w:pPr>
      <w:r w:rsidRPr="00412EB5">
        <w:rPr>
          <w:rFonts w:cs="Calibri"/>
          <w:szCs w:val="22"/>
          <w:lang w:val="nl-BE"/>
        </w:rPr>
        <w:t xml:space="preserve">In het kader van onze opdracht, is het onze verantwoordelijkheid om, in alle van materieel belang zijnde opzichten, </w:t>
      </w:r>
      <w:r w:rsidR="00D567C2" w:rsidRPr="002B58B4">
        <w:rPr>
          <w:rFonts w:cs="Calibri"/>
          <w:szCs w:val="22"/>
          <w:lang w:val="nl-BE"/>
        </w:rPr>
        <w:t>[</w:t>
      </w:r>
      <w:r w:rsidR="00D567C2" w:rsidRPr="002B58B4">
        <w:rPr>
          <w:rFonts w:cs="Calibri"/>
          <w:szCs w:val="22"/>
          <w:highlight w:val="lightGray"/>
          <w:lang w:val="nl-BE"/>
        </w:rPr>
        <w:t>de andere informatie opgenomen in het jaarrapport en</w:t>
      </w:r>
      <w:r w:rsidR="00D567C2" w:rsidRPr="002B58B4">
        <w:rPr>
          <w:rFonts w:cs="Calibri"/>
          <w:szCs w:val="22"/>
          <w:lang w:val="nl-BE"/>
        </w:rPr>
        <w:t>] [</w:t>
      </w:r>
      <w:r w:rsidR="00D567C2" w:rsidRPr="002B58B4">
        <w:rPr>
          <w:rFonts w:cs="Calibri"/>
          <w:szCs w:val="22"/>
          <w:highlight w:val="lightGray"/>
          <w:lang w:val="nl-BE"/>
        </w:rPr>
        <w:t>bepaalde documenten die overeenkomstig de wettelijke en bestuursrechtelijke voorschriften dienen te worden neergelegd,]</w:t>
      </w:r>
      <w:r w:rsidR="00D567C2" w:rsidRPr="002B58B4">
        <w:rPr>
          <w:rFonts w:cs="Calibri"/>
          <w:szCs w:val="22"/>
          <w:lang w:val="nl-BE"/>
        </w:rPr>
        <w:t xml:space="preserve"> </w:t>
      </w:r>
      <w:r w:rsidRPr="002B58B4">
        <w:rPr>
          <w:rFonts w:cs="Calibri"/>
          <w:szCs w:val="22"/>
          <w:lang w:val="nl-BE"/>
        </w:rPr>
        <w:t xml:space="preserve">de naleving van </w:t>
      </w:r>
      <w:r w:rsidR="009B5C74" w:rsidRPr="002B58B4">
        <w:rPr>
          <w:rFonts w:cs="Calibri"/>
          <w:szCs w:val="22"/>
          <w:lang w:val="nl-BE"/>
        </w:rPr>
        <w:t>h</w:t>
      </w:r>
      <w:r w:rsidR="002B6DF4" w:rsidRPr="002B58B4">
        <w:rPr>
          <w:rFonts w:cs="Calibri"/>
          <w:szCs w:val="22"/>
          <w:lang w:val="nl-BE"/>
        </w:rPr>
        <w:t>et opricht</w:t>
      </w:r>
      <w:r w:rsidR="009B5C74" w:rsidRPr="002B58B4">
        <w:rPr>
          <w:rFonts w:cs="Calibri"/>
          <w:szCs w:val="22"/>
          <w:lang w:val="nl-BE"/>
        </w:rPr>
        <w:t>ingsdecreet en de statuten</w:t>
      </w:r>
      <w:r w:rsidRPr="002B58B4">
        <w:rPr>
          <w:rFonts w:cs="Calibri"/>
          <w:szCs w:val="22"/>
          <w:lang w:val="nl-BE"/>
        </w:rPr>
        <w:t xml:space="preserve"> na te gaan. </w:t>
      </w:r>
    </w:p>
    <w:p w14:paraId="7B19CF7C" w14:textId="77777777" w:rsidR="009B5C74" w:rsidRDefault="009B5C74" w:rsidP="00D25EA6">
      <w:pPr>
        <w:spacing w:after="120"/>
        <w:jc w:val="both"/>
        <w:rPr>
          <w:rFonts w:cs="Calibri"/>
          <w:szCs w:val="22"/>
          <w:lang w:val="nl-BE"/>
        </w:rPr>
      </w:pPr>
    </w:p>
    <w:p w14:paraId="4D5DAC4C" w14:textId="42F641BF" w:rsidR="002C2866" w:rsidRPr="002C2866" w:rsidRDefault="002C2866" w:rsidP="002C2866">
      <w:pPr>
        <w:keepNext/>
        <w:keepLines/>
        <w:spacing w:before="40" w:line="360" w:lineRule="auto"/>
        <w:jc w:val="both"/>
        <w:outlineLvl w:val="2"/>
        <w:rPr>
          <w:rFonts w:ascii="Cambria" w:hAnsi="Cambria"/>
          <w:b/>
          <w:i/>
          <w:color w:val="365F91"/>
          <w:sz w:val="24"/>
          <w:lang w:val="nl-BE"/>
        </w:rPr>
      </w:pPr>
      <w:r w:rsidRPr="002C2866">
        <w:rPr>
          <w:rFonts w:ascii="Cambria" w:hAnsi="Cambria"/>
          <w:b/>
          <w:i/>
          <w:color w:val="365F91"/>
          <w:sz w:val="24"/>
          <w:lang w:val="nl-BE"/>
        </w:rPr>
        <w:t>[</w:t>
      </w:r>
      <w:r w:rsidRPr="002C2866">
        <w:rPr>
          <w:rFonts w:ascii="Cambria" w:hAnsi="Cambria"/>
          <w:b/>
          <w:i/>
          <w:color w:val="365F91"/>
          <w:sz w:val="24"/>
          <w:highlight w:val="lightGray"/>
          <w:lang w:val="nl-BE"/>
        </w:rPr>
        <w:t xml:space="preserve">Aspecten betreffende de andere  informatie opgenomen in het jaarrapport] </w:t>
      </w:r>
      <w:r w:rsidRPr="002C2866">
        <w:rPr>
          <w:rFonts w:ascii="Times New Roman" w:hAnsi="Times New Roman"/>
          <w:b/>
          <w:i/>
          <w:color w:val="365F91"/>
          <w:sz w:val="24"/>
          <w:highlight w:val="lightGray"/>
          <w:lang w:val="nl-BE"/>
        </w:rPr>
        <w:t>[Paragraaf te gebruiken wanneer ISA 720 (Herzien) van toepassing is</w:t>
      </w:r>
      <w:r w:rsidRPr="002C2866">
        <w:rPr>
          <w:rFonts w:ascii="Times New Roman" w:hAnsi="Times New Roman"/>
          <w:b/>
          <w:i/>
          <w:color w:val="365F91"/>
          <w:sz w:val="24"/>
          <w:lang w:val="nl-BE"/>
        </w:rPr>
        <w:t>]</w:t>
      </w:r>
    </w:p>
    <w:p w14:paraId="4911A4F6" w14:textId="1A4D19B2" w:rsidR="002C2866" w:rsidRPr="002C2866" w:rsidRDefault="002C2866" w:rsidP="002C2866">
      <w:pPr>
        <w:jc w:val="both"/>
        <w:rPr>
          <w:rFonts w:ascii="Times New Roman" w:eastAsia="Calibri" w:hAnsi="Times New Roman"/>
          <w:sz w:val="24"/>
          <w:lang w:val="nl-BE"/>
        </w:rPr>
      </w:pPr>
      <w:r w:rsidRPr="002C2866">
        <w:rPr>
          <w:rFonts w:ascii="Times New Roman" w:eastAsia="Calibri" w:hAnsi="Times New Roman"/>
          <w:sz w:val="24"/>
          <w:lang w:val="nl-BE"/>
        </w:rPr>
        <w:t xml:space="preserve">[In de context van onze controle van de jaarrekening zijn wij tevens verantwoordelijk voor het overwegen, in het bijzonder op basis van de kennis verkregen in de controle, of de andere informatie opgenomen in het jaarrapport, zijnde: </w:t>
      </w:r>
    </w:p>
    <w:p w14:paraId="44F25E3D" w14:textId="77777777" w:rsidR="002C2866" w:rsidRPr="002C2866" w:rsidRDefault="002C2866" w:rsidP="002C2866">
      <w:pPr>
        <w:jc w:val="both"/>
        <w:rPr>
          <w:rFonts w:ascii="Times New Roman" w:eastAsia="Calibri" w:hAnsi="Times New Roman"/>
          <w:sz w:val="24"/>
          <w:lang w:val="nl-BE"/>
        </w:rPr>
      </w:pPr>
      <w:r w:rsidRPr="002C2866">
        <w:rPr>
          <w:rFonts w:ascii="Times New Roman" w:eastAsia="Calibri" w:hAnsi="Times New Roman"/>
          <w:sz w:val="24"/>
          <w:lang w:val="nl-BE"/>
        </w:rPr>
        <w:t>- [</w:t>
      </w:r>
      <w:r w:rsidRPr="002C2866">
        <w:rPr>
          <w:rFonts w:ascii="Times New Roman" w:eastAsia="Calibri" w:hAnsi="Times New Roman"/>
          <w:sz w:val="24"/>
          <w:highlight w:val="lightGray"/>
          <w:lang w:val="nl-BE"/>
        </w:rPr>
        <w:t>aan te vullen</w:t>
      </w:r>
      <w:r w:rsidRPr="002C2866">
        <w:rPr>
          <w:rFonts w:ascii="Times New Roman" w:eastAsia="Calibri" w:hAnsi="Times New Roman"/>
          <w:sz w:val="24"/>
          <w:lang w:val="nl-BE"/>
        </w:rPr>
        <w:t xml:space="preserve">] </w:t>
      </w:r>
      <w:r w:rsidRPr="002C2866">
        <w:rPr>
          <w:rFonts w:ascii="Times New Roman" w:eastAsia="Calibri" w:hAnsi="Times New Roman"/>
          <w:sz w:val="24"/>
          <w:highlight w:val="lightGray"/>
          <w:vertAlign w:val="superscript"/>
          <w:lang w:val="nl-BE"/>
        </w:rPr>
        <w:t>[</w:t>
      </w:r>
      <w:r w:rsidRPr="002C2866">
        <w:rPr>
          <w:rFonts w:ascii="Times New Roman" w:eastAsia="Calibri" w:hAnsi="Times New Roman"/>
          <w:sz w:val="24"/>
          <w:highlight w:val="lightGray"/>
          <w:vertAlign w:val="superscript"/>
          <w:lang w:val="nl-BE"/>
        </w:rPr>
        <w:footnoteReference w:id="10"/>
      </w:r>
      <w:r w:rsidRPr="002C2866">
        <w:rPr>
          <w:rFonts w:ascii="Times New Roman" w:eastAsia="Calibri" w:hAnsi="Times New Roman"/>
          <w:sz w:val="24"/>
          <w:highlight w:val="lightGray"/>
          <w:vertAlign w:val="superscript"/>
          <w:lang w:val="nl-BE"/>
        </w:rPr>
        <w:t>]</w:t>
      </w:r>
    </w:p>
    <w:p w14:paraId="21162114" w14:textId="77777777" w:rsidR="002C2866" w:rsidRPr="002C2866" w:rsidRDefault="002C2866" w:rsidP="002C2866">
      <w:pPr>
        <w:jc w:val="both"/>
        <w:rPr>
          <w:rFonts w:ascii="Times New Roman" w:eastAsia="Calibri" w:hAnsi="Times New Roman"/>
          <w:sz w:val="24"/>
          <w:lang w:val="nl-BE"/>
        </w:rPr>
      </w:pPr>
      <w:r w:rsidRPr="002C2866">
        <w:rPr>
          <w:rFonts w:ascii="Times New Roman" w:eastAsia="Calibri" w:hAnsi="Times New Roman"/>
          <w:sz w:val="24"/>
          <w:lang w:val="nl-BE"/>
        </w:rPr>
        <w:t>- …</w:t>
      </w:r>
    </w:p>
    <w:p w14:paraId="68FFCAB7" w14:textId="77777777" w:rsidR="002C2866" w:rsidRPr="002C2866" w:rsidRDefault="002C2866" w:rsidP="002C2866">
      <w:pPr>
        <w:jc w:val="both"/>
        <w:rPr>
          <w:rFonts w:ascii="Times New Roman" w:eastAsia="Calibri" w:hAnsi="Times New Roman"/>
          <w:sz w:val="24"/>
          <w:lang w:val="nl-BE"/>
        </w:rPr>
      </w:pPr>
      <w:r w:rsidRPr="002C2866">
        <w:rPr>
          <w:rFonts w:ascii="Times New Roman" w:eastAsia="Calibri" w:hAnsi="Times New Roman"/>
          <w:sz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3810AF24" w14:textId="77777777" w:rsidR="002C2866" w:rsidRPr="002C2866" w:rsidRDefault="002C2866" w:rsidP="002C2866">
      <w:pPr>
        <w:jc w:val="both"/>
        <w:rPr>
          <w:rFonts w:ascii="Times New Roman" w:eastAsia="Calibri" w:hAnsi="Times New Roman"/>
          <w:sz w:val="24"/>
          <w:lang w:val="nl-BE"/>
        </w:rPr>
      </w:pPr>
    </w:p>
    <w:p w14:paraId="731BB7B1" w14:textId="1FDEAC98" w:rsidR="002C2866" w:rsidRPr="002C2866" w:rsidRDefault="002C2866" w:rsidP="002C2866">
      <w:pPr>
        <w:spacing w:after="200" w:line="276" w:lineRule="auto"/>
        <w:jc w:val="both"/>
        <w:rPr>
          <w:rFonts w:eastAsia="Calibri"/>
          <w:szCs w:val="22"/>
          <w:lang w:val="nl-BE"/>
        </w:rPr>
      </w:pPr>
      <w:r w:rsidRPr="002C2866">
        <w:rPr>
          <w:rFonts w:ascii="Times New Roman" w:eastAsia="Calibri" w:hAnsi="Times New Roman"/>
          <w:bCs/>
          <w:sz w:val="24"/>
          <w:lang w:val="nl-BE"/>
        </w:rPr>
        <w:t xml:space="preserve">Wij formuleren geen enkele vorm van assurance-conclusie omtrent </w:t>
      </w:r>
      <w:r w:rsidRPr="002C2866">
        <w:rPr>
          <w:rFonts w:ascii="Times New Roman" w:eastAsia="Calibri" w:hAnsi="Times New Roman"/>
          <w:sz w:val="24"/>
          <w:lang w:val="nl-BE"/>
        </w:rPr>
        <w:t>de andere informatie opgenomen in</w:t>
      </w:r>
      <w:r w:rsidRPr="002C2866">
        <w:rPr>
          <w:rFonts w:ascii="Times New Roman" w:eastAsia="Calibri" w:hAnsi="Times New Roman"/>
          <w:bCs/>
          <w:sz w:val="24"/>
          <w:lang w:val="nl-BE"/>
        </w:rPr>
        <w:t xml:space="preserve"> het jaarrapport.]</w:t>
      </w:r>
    </w:p>
    <w:p w14:paraId="2C204B6E" w14:textId="77777777" w:rsidR="00261FA6" w:rsidRPr="00412EB5" w:rsidRDefault="00261FA6" w:rsidP="00261FA6">
      <w:pPr>
        <w:jc w:val="both"/>
        <w:rPr>
          <w:rFonts w:cs="Calibri"/>
          <w:szCs w:val="22"/>
          <w:lang w:val="nl-BE"/>
        </w:rPr>
      </w:pPr>
    </w:p>
    <w:p w14:paraId="6DFA8729" w14:textId="77777777" w:rsidR="00BB21F1" w:rsidRPr="00FC019C" w:rsidRDefault="00BB21F1" w:rsidP="00FC019C">
      <w:pPr>
        <w:spacing w:after="200" w:line="276" w:lineRule="auto"/>
        <w:rPr>
          <w:rFonts w:ascii="Times New Roman" w:eastAsia="Calibri" w:hAnsi="Times New Roman"/>
          <w:b/>
          <w:i/>
          <w:color w:val="1F497D" w:themeColor="text2"/>
          <w:sz w:val="24"/>
          <w:lang w:val="nl-BE"/>
        </w:rPr>
      </w:pPr>
      <w:r w:rsidRPr="00FC019C">
        <w:rPr>
          <w:rFonts w:ascii="Times New Roman" w:eastAsia="Calibri" w:hAnsi="Times New Roman"/>
          <w:b/>
          <w:i/>
          <w:color w:val="1F497D" w:themeColor="text2"/>
          <w:sz w:val="24"/>
          <w:lang w:val="nl-BE"/>
        </w:rPr>
        <w:t>Vermeldingen betreffende de onafhankelijkheid</w:t>
      </w:r>
    </w:p>
    <w:p w14:paraId="4F5272BB" w14:textId="0E3FBFAD" w:rsidR="00BB21F1" w:rsidRDefault="002C2866" w:rsidP="009057C8">
      <w:pPr>
        <w:contextualSpacing/>
        <w:jc w:val="both"/>
        <w:rPr>
          <w:rFonts w:asciiTheme="minorHAnsi" w:hAnsiTheme="minorHAnsi"/>
          <w:lang w:val="nl-BE"/>
        </w:rPr>
      </w:pPr>
      <w:r w:rsidRPr="00FC019C">
        <w:rPr>
          <w:rFonts w:asciiTheme="minorHAnsi" w:hAnsiTheme="minorHAnsi" w:cstheme="minorHAnsi"/>
          <w:szCs w:val="22"/>
          <w:lang w:val="nl-BE"/>
        </w:rPr>
        <w:lastRenderedPageBreak/>
        <w:t>Ons bedrijfsrevisorenkantoor [</w:t>
      </w:r>
      <w:r w:rsidRPr="00FC019C">
        <w:rPr>
          <w:rFonts w:asciiTheme="minorHAnsi" w:hAnsiTheme="minorHAnsi" w:cstheme="minorHAnsi"/>
          <w:szCs w:val="22"/>
          <w:highlight w:val="lightGray"/>
          <w:lang w:val="nl-BE"/>
        </w:rPr>
        <w:t>en ons netwerk</w:t>
      </w:r>
      <w:r w:rsidRPr="00FC019C">
        <w:rPr>
          <w:rFonts w:asciiTheme="minorHAnsi" w:hAnsiTheme="minorHAnsi" w:cstheme="minorHAnsi"/>
          <w:szCs w:val="22"/>
          <w:lang w:val="nl-BE"/>
        </w:rPr>
        <w:t>] heeft [</w:t>
      </w:r>
      <w:r w:rsidRPr="00FC019C">
        <w:rPr>
          <w:rFonts w:asciiTheme="minorHAnsi" w:hAnsiTheme="minorHAnsi" w:cstheme="minorHAnsi"/>
          <w:szCs w:val="22"/>
          <w:highlight w:val="lightGray"/>
          <w:lang w:val="nl-BE"/>
        </w:rPr>
        <w:t>hebben</w:t>
      </w:r>
      <w:r>
        <w:rPr>
          <w:rFonts w:asciiTheme="minorHAnsi" w:hAnsiTheme="minorHAnsi" w:cstheme="minorHAnsi"/>
          <w:szCs w:val="22"/>
          <w:lang w:val="nl-BE"/>
        </w:rPr>
        <w:t>]</w:t>
      </w:r>
      <w:r w:rsidRPr="00C93490" w:rsidDel="002C2866">
        <w:rPr>
          <w:rFonts w:asciiTheme="minorHAnsi" w:hAnsiTheme="minorHAnsi" w:cstheme="minorHAnsi"/>
          <w:szCs w:val="22"/>
          <w:lang w:val="nl-BE"/>
        </w:rPr>
        <w:t xml:space="preserve"> </w:t>
      </w:r>
      <w:r w:rsidR="00BB21F1" w:rsidRPr="001434A3">
        <w:rPr>
          <w:rFonts w:asciiTheme="minorHAnsi" w:hAnsiTheme="minorHAnsi"/>
          <w:lang w:val="nl-BE"/>
        </w:rPr>
        <w:t xml:space="preserve">geen opdrachten verricht die onverenigbaar zijn met de wettelijke controle van de jaarrekening en </w:t>
      </w:r>
      <w:r>
        <w:rPr>
          <w:rFonts w:asciiTheme="minorHAnsi" w:hAnsiTheme="minorHAnsi"/>
          <w:lang w:val="nl-BE"/>
        </w:rPr>
        <w:t>ons bedrijfsrevisorenkantoor is</w:t>
      </w:r>
      <w:r w:rsidRPr="001434A3">
        <w:rPr>
          <w:rFonts w:asciiTheme="minorHAnsi" w:hAnsiTheme="minorHAnsi"/>
          <w:lang w:val="nl-BE"/>
        </w:rPr>
        <w:t xml:space="preserve"> </w:t>
      </w:r>
      <w:r w:rsidR="00BB21F1" w:rsidRPr="001434A3">
        <w:rPr>
          <w:rFonts w:asciiTheme="minorHAnsi" w:hAnsiTheme="minorHAnsi"/>
          <w:lang w:val="nl-BE"/>
        </w:rPr>
        <w:t xml:space="preserve">in de loop van ons mandaat onafhankelijk gebleven tegenover </w:t>
      </w:r>
      <w:r>
        <w:rPr>
          <w:rFonts w:asciiTheme="minorHAnsi" w:hAnsiTheme="minorHAnsi"/>
          <w:lang w:val="nl-BE"/>
        </w:rPr>
        <w:t>de Vlaamse rechtspersoon</w:t>
      </w:r>
      <w:r w:rsidR="00BB21F1" w:rsidRPr="001434A3">
        <w:rPr>
          <w:rFonts w:asciiTheme="minorHAnsi" w:hAnsiTheme="minorHAnsi"/>
          <w:lang w:val="nl-BE"/>
        </w:rPr>
        <w:t xml:space="preserve">. </w:t>
      </w:r>
    </w:p>
    <w:p w14:paraId="3EA90C8A" w14:textId="688336DD" w:rsidR="009057C8" w:rsidRDefault="009057C8" w:rsidP="009057C8">
      <w:pPr>
        <w:contextualSpacing/>
        <w:jc w:val="both"/>
        <w:rPr>
          <w:rFonts w:asciiTheme="minorHAnsi" w:hAnsiTheme="minorHAnsi"/>
          <w:lang w:val="nl-BE"/>
        </w:rPr>
      </w:pPr>
    </w:p>
    <w:p w14:paraId="0CDCAB42" w14:textId="77777777" w:rsidR="009057C8" w:rsidRPr="001434A3" w:rsidRDefault="009057C8" w:rsidP="009057C8">
      <w:pPr>
        <w:contextualSpacing/>
        <w:jc w:val="both"/>
        <w:rPr>
          <w:rFonts w:asciiTheme="minorHAnsi" w:hAnsiTheme="minorHAnsi"/>
          <w:lang w:val="nl-BE"/>
        </w:rPr>
      </w:pPr>
    </w:p>
    <w:p w14:paraId="3D8D27E8" w14:textId="77777777" w:rsidR="00261FA6" w:rsidRPr="00412EB5" w:rsidRDefault="00261FA6" w:rsidP="00261FA6">
      <w:pPr>
        <w:jc w:val="both"/>
        <w:rPr>
          <w:rFonts w:cs="Calibri"/>
          <w:szCs w:val="22"/>
          <w:lang w:val="nl-BE"/>
        </w:rPr>
      </w:pPr>
    </w:p>
    <w:p w14:paraId="2DF2BBFF" w14:textId="77777777" w:rsidR="002C2866" w:rsidRPr="00FC019C" w:rsidRDefault="002C2866" w:rsidP="00FC019C">
      <w:pPr>
        <w:spacing w:after="200" w:line="276" w:lineRule="auto"/>
        <w:rPr>
          <w:rFonts w:ascii="Times New Roman" w:eastAsia="Calibri" w:hAnsi="Times New Roman"/>
          <w:b/>
          <w:i/>
          <w:color w:val="1F497D" w:themeColor="text2"/>
          <w:sz w:val="24"/>
          <w:lang w:val="nl-BE"/>
        </w:rPr>
      </w:pPr>
      <w:r w:rsidRPr="00FC019C">
        <w:rPr>
          <w:rFonts w:ascii="Times New Roman" w:eastAsia="Calibri" w:hAnsi="Times New Roman"/>
          <w:b/>
          <w:i/>
          <w:color w:val="1F497D" w:themeColor="text2"/>
          <w:sz w:val="24"/>
          <w:lang w:val="nl-BE"/>
        </w:rPr>
        <w:t>Andere vermeldingen</w:t>
      </w:r>
    </w:p>
    <w:p w14:paraId="5422E1A7" w14:textId="77777777" w:rsidR="002C2866" w:rsidRDefault="002C2866" w:rsidP="002C2866">
      <w:pPr>
        <w:jc w:val="both"/>
        <w:rPr>
          <w:rFonts w:cs="Calibri"/>
          <w:szCs w:val="22"/>
          <w:lang w:val="nl-BE"/>
        </w:rPr>
      </w:pPr>
    </w:p>
    <w:p w14:paraId="5937B076" w14:textId="77777777" w:rsidR="002C2866" w:rsidRPr="00412EB5" w:rsidRDefault="002C2866" w:rsidP="002C2866">
      <w:pPr>
        <w:pStyle w:val="Lijstalinea"/>
        <w:numPr>
          <w:ilvl w:val="0"/>
          <w:numId w:val="2"/>
        </w:numPr>
        <w:spacing w:after="120"/>
        <w:ind w:left="714" w:hanging="357"/>
        <w:contextualSpacing w:val="0"/>
        <w:jc w:val="both"/>
        <w:rPr>
          <w:rFonts w:cs="Calibri"/>
          <w:szCs w:val="22"/>
          <w:lang w:val="nl-BE"/>
        </w:rPr>
      </w:pPr>
      <w:r w:rsidRPr="00412EB5">
        <w:rPr>
          <w:rFonts w:cs="Calibri"/>
          <w:szCs w:val="22"/>
          <w:lang w:val="nl-BE"/>
        </w:rPr>
        <w:t>Onverminderd formele aspecten van ondergeschikt belang, werd de boekhouding gevoerd in overeenstemming met het rekendecreet en diens uitvoeringsbesluiten.</w:t>
      </w:r>
    </w:p>
    <w:p w14:paraId="4879952E" w14:textId="77777777" w:rsidR="002C2866" w:rsidRPr="00412EB5" w:rsidRDefault="002C2866" w:rsidP="002C2866">
      <w:pPr>
        <w:pStyle w:val="Lijstalinea"/>
        <w:numPr>
          <w:ilvl w:val="0"/>
          <w:numId w:val="2"/>
        </w:numPr>
        <w:ind w:left="714" w:hanging="357"/>
        <w:contextualSpacing w:val="0"/>
        <w:jc w:val="both"/>
        <w:rPr>
          <w:rFonts w:cs="Calibri"/>
          <w:szCs w:val="22"/>
          <w:lang w:val="nl-BE"/>
        </w:rPr>
      </w:pPr>
      <w:r w:rsidRPr="00412EB5">
        <w:rPr>
          <w:rFonts w:cs="Calibri"/>
          <w:szCs w:val="22"/>
          <w:lang w:val="nl-BE"/>
        </w:rPr>
        <w:t>Wij dienen u geen verrichtingen of beslissingen mede te delen die in overtreding met het oprichtingsdecreet, de bepalingen uit het rekendecreet en de uitvoeringsbesluiten daarvan, of van de statuten van de entiteit zijn gedaan of genomen.</w:t>
      </w:r>
    </w:p>
    <w:p w14:paraId="101D33D2" w14:textId="77777777" w:rsidR="002C2866" w:rsidRDefault="002C2866" w:rsidP="00261FA6">
      <w:pPr>
        <w:jc w:val="both"/>
        <w:rPr>
          <w:b/>
          <w:szCs w:val="22"/>
          <w:lang w:val="nl-BE"/>
        </w:rPr>
      </w:pPr>
    </w:p>
    <w:p w14:paraId="6B40B1D1" w14:textId="24133677" w:rsidR="00261FA6" w:rsidRPr="00FC019C" w:rsidRDefault="00261FA6" w:rsidP="00FC019C">
      <w:pPr>
        <w:spacing w:after="200" w:line="276" w:lineRule="auto"/>
        <w:rPr>
          <w:rFonts w:ascii="Times New Roman" w:eastAsia="Calibri" w:hAnsi="Times New Roman"/>
          <w:b/>
          <w:i/>
          <w:color w:val="1F497D" w:themeColor="text2"/>
          <w:sz w:val="24"/>
          <w:lang w:val="nl-BE"/>
        </w:rPr>
      </w:pPr>
      <w:r w:rsidRPr="00FC019C">
        <w:rPr>
          <w:rFonts w:ascii="Times New Roman" w:eastAsia="Calibri" w:hAnsi="Times New Roman"/>
          <w:b/>
          <w:i/>
          <w:color w:val="1F497D" w:themeColor="text2"/>
          <w:sz w:val="24"/>
          <w:lang w:val="nl-BE"/>
        </w:rPr>
        <w:t>Overige aangelegenheid</w:t>
      </w:r>
    </w:p>
    <w:p w14:paraId="2BF28428" w14:textId="77777777" w:rsidR="00261FA6" w:rsidRPr="00412EB5" w:rsidRDefault="00261FA6" w:rsidP="00261FA6">
      <w:pPr>
        <w:jc w:val="both"/>
        <w:rPr>
          <w:b/>
          <w:szCs w:val="22"/>
          <w:lang w:val="nl-BE"/>
        </w:rPr>
      </w:pPr>
    </w:p>
    <w:p w14:paraId="11C4B54C" w14:textId="051C425B" w:rsidR="00261FA6" w:rsidRDefault="00261FA6" w:rsidP="00261FA6">
      <w:pPr>
        <w:jc w:val="both"/>
        <w:rPr>
          <w:szCs w:val="22"/>
          <w:lang w:val="nl-BE"/>
        </w:rPr>
      </w:pPr>
      <w:r w:rsidRPr="00412EB5">
        <w:rPr>
          <w:szCs w:val="22"/>
          <w:lang w:val="nl-BE"/>
        </w:rPr>
        <w:t xml:space="preserve">De Vlaamse rechtspersoon </w:t>
      </w:r>
      <w:r w:rsidRPr="00143CD4">
        <w:rPr>
          <w:szCs w:val="22"/>
          <w:highlight w:val="lightGray"/>
          <w:lang w:val="nl-BE"/>
        </w:rPr>
        <w:t>[_]</w:t>
      </w:r>
      <w:r w:rsidRPr="00412EB5">
        <w:rPr>
          <w:szCs w:val="22"/>
          <w:lang w:val="nl-BE"/>
        </w:rPr>
        <w:t xml:space="preserve"> heeft tevens een jaarrekening opgesteld voor het boekjaar afgesloten op 31 december </w:t>
      </w:r>
      <w:r w:rsidRPr="00143CD4">
        <w:rPr>
          <w:szCs w:val="22"/>
          <w:highlight w:val="lightGray"/>
          <w:lang w:val="nl-BE"/>
        </w:rPr>
        <w:t>20_</w:t>
      </w:r>
      <w:r w:rsidRPr="00412EB5">
        <w:rPr>
          <w:szCs w:val="22"/>
          <w:lang w:val="nl-BE"/>
        </w:rPr>
        <w:t xml:space="preserve"> , in overeenstemming met het in België van toepassing zijnde boekhoudkundig referentiestelsel, waarover wij het hierbij gevoegd afzonderlijk verslag </w:t>
      </w:r>
      <w:r w:rsidRPr="00143CD4">
        <w:rPr>
          <w:szCs w:val="22"/>
          <w:highlight w:val="lightGray"/>
          <w:lang w:val="nl-BE"/>
        </w:rPr>
        <w:t>[zonder voorbehoud]</w:t>
      </w:r>
      <w:r w:rsidRPr="00412EB5">
        <w:rPr>
          <w:szCs w:val="22"/>
          <w:lang w:val="nl-BE"/>
        </w:rPr>
        <w:t xml:space="preserve"> hebben uitgebracht aan de algemene vergadering van de Vlaamse rechtspersoon </w:t>
      </w:r>
      <w:r w:rsidRPr="00143CD4">
        <w:rPr>
          <w:szCs w:val="22"/>
          <w:highlight w:val="lightGray"/>
          <w:lang w:val="nl-BE"/>
        </w:rPr>
        <w:t>[_]</w:t>
      </w:r>
      <w:r w:rsidRPr="00412EB5">
        <w:rPr>
          <w:szCs w:val="22"/>
          <w:lang w:val="nl-BE"/>
        </w:rPr>
        <w:t xml:space="preserve"> dd. </w:t>
      </w:r>
      <w:r w:rsidRPr="00143CD4">
        <w:rPr>
          <w:szCs w:val="22"/>
          <w:highlight w:val="lightGray"/>
          <w:lang w:val="nl-BE"/>
        </w:rPr>
        <w:t>_ __ 20_.</w:t>
      </w:r>
    </w:p>
    <w:p w14:paraId="282A5688" w14:textId="5363051A" w:rsidR="005B7833" w:rsidRDefault="005B7833" w:rsidP="00261FA6">
      <w:pPr>
        <w:jc w:val="both"/>
        <w:rPr>
          <w:szCs w:val="22"/>
          <w:lang w:val="nl-BE"/>
        </w:rPr>
      </w:pPr>
    </w:p>
    <w:p w14:paraId="18C79FDF" w14:textId="77777777" w:rsidR="005B7833" w:rsidRPr="00412EB5" w:rsidRDefault="005B7833" w:rsidP="00261FA6">
      <w:pPr>
        <w:jc w:val="both"/>
        <w:rPr>
          <w:szCs w:val="22"/>
          <w:lang w:val="nl-BE"/>
        </w:rPr>
      </w:pPr>
    </w:p>
    <w:p w14:paraId="380F46A1" w14:textId="77777777" w:rsidR="005B7833" w:rsidRPr="00143CD4" w:rsidRDefault="005B7833" w:rsidP="005B7833">
      <w:pPr>
        <w:rPr>
          <w:szCs w:val="22"/>
          <w:highlight w:val="lightGray"/>
          <w:lang w:val="nl-BE"/>
        </w:rPr>
      </w:pPr>
      <w:r w:rsidRPr="00143CD4">
        <w:rPr>
          <w:szCs w:val="22"/>
          <w:highlight w:val="lightGray"/>
          <w:lang w:val="nl-BE"/>
        </w:rPr>
        <w:t>Plaats, datum, handtekening</w:t>
      </w:r>
    </w:p>
    <w:p w14:paraId="3D15657B" w14:textId="77777777" w:rsidR="005B7833" w:rsidRPr="00143CD4" w:rsidRDefault="005B7833" w:rsidP="005B7833">
      <w:pPr>
        <w:rPr>
          <w:szCs w:val="22"/>
          <w:highlight w:val="lightGray"/>
          <w:lang w:val="nl-BE"/>
        </w:rPr>
      </w:pPr>
      <w:r w:rsidRPr="00143CD4">
        <w:rPr>
          <w:szCs w:val="22"/>
          <w:highlight w:val="lightGray"/>
          <w:lang w:val="nl-BE"/>
        </w:rPr>
        <w:t xml:space="preserve">Bedrijfsrevisor </w:t>
      </w:r>
    </w:p>
    <w:p w14:paraId="78E2F519" w14:textId="77777777" w:rsidR="005B7833" w:rsidRPr="00143CD4" w:rsidRDefault="005B7833" w:rsidP="005B7833">
      <w:pPr>
        <w:rPr>
          <w:szCs w:val="22"/>
          <w:highlight w:val="lightGray"/>
          <w:lang w:val="nl-BE"/>
        </w:rPr>
      </w:pPr>
      <w:r w:rsidRPr="00143CD4">
        <w:rPr>
          <w:szCs w:val="22"/>
          <w:highlight w:val="lightGray"/>
          <w:lang w:val="nl-BE"/>
        </w:rPr>
        <w:t>[Commissaris ]</w:t>
      </w:r>
    </w:p>
    <w:p w14:paraId="35E1C2FC" w14:textId="77777777" w:rsidR="005B7833" w:rsidRPr="00412EB5" w:rsidRDefault="005B7833" w:rsidP="005B7833">
      <w:pPr>
        <w:rPr>
          <w:rFonts w:cs="Calibri"/>
          <w:szCs w:val="22"/>
          <w:lang w:val="nl-BE"/>
        </w:rPr>
      </w:pPr>
      <w:r w:rsidRPr="00412EB5">
        <w:rPr>
          <w:rFonts w:cs="Calibri"/>
          <w:szCs w:val="22"/>
          <w:lang w:val="nl-BE"/>
        </w:rPr>
        <w:t xml:space="preserve">vertegenwoordigd door </w:t>
      </w:r>
    </w:p>
    <w:p w14:paraId="3101FD9D" w14:textId="77777777" w:rsidR="005B7833" w:rsidRPr="00143CD4" w:rsidRDefault="005B7833" w:rsidP="005B7833">
      <w:pPr>
        <w:rPr>
          <w:szCs w:val="22"/>
          <w:highlight w:val="lightGray"/>
          <w:lang w:val="nl-BE"/>
        </w:rPr>
      </w:pPr>
      <w:r w:rsidRPr="00143CD4">
        <w:rPr>
          <w:szCs w:val="22"/>
          <w:highlight w:val="lightGray"/>
          <w:lang w:val="nl-BE"/>
        </w:rPr>
        <w:t>Naam</w:t>
      </w:r>
    </w:p>
    <w:p w14:paraId="193BE3A7" w14:textId="6A81909B" w:rsidR="0022588C" w:rsidRPr="00412EB5" w:rsidRDefault="005B7833" w:rsidP="00FC019C">
      <w:pPr>
        <w:rPr>
          <w:rFonts w:cs="Calibri"/>
          <w:szCs w:val="22"/>
          <w:highlight w:val="yellow"/>
          <w:lang w:val="nl-BE"/>
        </w:rPr>
        <w:sectPr w:rsidR="0022588C" w:rsidRPr="00412EB5" w:rsidSect="00BB21F1">
          <w:footerReference w:type="default" r:id="rId8"/>
          <w:pgSz w:w="11907" w:h="16840" w:code="9"/>
          <w:pgMar w:top="2552" w:right="1134" w:bottom="1418" w:left="1588" w:header="709" w:footer="284" w:gutter="0"/>
          <w:pgNumType w:start="1"/>
          <w:cols w:space="720"/>
          <w:titlePg/>
          <w:docGrid w:linePitch="360"/>
        </w:sectPr>
      </w:pPr>
      <w:r w:rsidRPr="00143CD4">
        <w:rPr>
          <w:szCs w:val="22"/>
          <w:highlight w:val="lightGray"/>
          <w:lang w:val="nl-BE"/>
        </w:rPr>
        <w:t>[vennoot, bedrijfsrevisor]</w:t>
      </w:r>
    </w:p>
    <w:p w14:paraId="29992A2D" w14:textId="77777777" w:rsidR="00E306D4" w:rsidRPr="00412EB5" w:rsidRDefault="001944A9" w:rsidP="000E0C16">
      <w:pPr>
        <w:pStyle w:val="Kop1"/>
      </w:pPr>
      <w:bookmarkStart w:id="9" w:name="_Toc381196919"/>
      <w:bookmarkStart w:id="10" w:name="_Toc381197019"/>
      <w:bookmarkStart w:id="11" w:name="_Toc381197036"/>
      <w:bookmarkStart w:id="12" w:name="_Toc381197039"/>
      <w:bookmarkStart w:id="13" w:name="_Toc381197045"/>
      <w:bookmarkStart w:id="14" w:name="_Toc381197307"/>
      <w:bookmarkStart w:id="15" w:name="_Toc381197310"/>
      <w:bookmarkStart w:id="16" w:name="_Toc381197313"/>
      <w:r w:rsidRPr="00412EB5">
        <w:lastRenderedPageBreak/>
        <w:t xml:space="preserve">single audit verslag van de </w:t>
      </w:r>
      <w:r w:rsidRPr="00143CD4">
        <w:rPr>
          <w:highlight w:val="lightGray"/>
        </w:rPr>
        <w:t>[bedrijfsrevisor]</w:t>
      </w:r>
      <w:r w:rsidRPr="00412EB5">
        <w:t xml:space="preserve"> aan de </w:t>
      </w:r>
      <w:r w:rsidRPr="00143CD4">
        <w:rPr>
          <w:highlight w:val="lightGray"/>
        </w:rPr>
        <w:t>[</w:t>
      </w:r>
      <w:r w:rsidR="00FF42B0" w:rsidRPr="00143CD4">
        <w:rPr>
          <w:highlight w:val="lightGray"/>
        </w:rPr>
        <w:t>raad van bestuur</w:t>
      </w:r>
      <w:r w:rsidRPr="00143CD4">
        <w:rPr>
          <w:highlight w:val="lightGray"/>
        </w:rPr>
        <w:t>]</w:t>
      </w:r>
      <w:r w:rsidRPr="00412EB5">
        <w:t xml:space="preserve"> van de vlaamse rechtspersoon </w:t>
      </w:r>
      <w:r w:rsidRPr="00143CD4">
        <w:rPr>
          <w:highlight w:val="lightGray"/>
        </w:rPr>
        <w:t>[_]</w:t>
      </w:r>
      <w:r w:rsidRPr="00412EB5">
        <w:t xml:space="preserve"> </w:t>
      </w:r>
      <w:r w:rsidRPr="00412EB5">
        <w:br/>
        <w:t xml:space="preserve">inzake de controle voor het boekjaar </w:t>
      </w:r>
      <w:r w:rsidRPr="00143CD4">
        <w:rPr>
          <w:highlight w:val="lightGray"/>
        </w:rPr>
        <w:t>20_</w:t>
      </w:r>
      <w:r w:rsidRPr="00412EB5">
        <w:t xml:space="preserve"> op de naleving van de beslissingen en toekenningsvoorwaarden opgelegd door de regulerende overheid bij de uitvoering van de begroting en de rapportering desbetreffend</w:t>
      </w:r>
      <w:bookmarkEnd w:id="9"/>
      <w:bookmarkEnd w:id="10"/>
      <w:bookmarkEnd w:id="11"/>
      <w:bookmarkEnd w:id="12"/>
      <w:bookmarkEnd w:id="13"/>
      <w:bookmarkEnd w:id="14"/>
      <w:bookmarkEnd w:id="15"/>
      <w:bookmarkEnd w:id="16"/>
      <w:r w:rsidR="009B16DD">
        <w:t xml:space="preserve"> (</w:t>
      </w:r>
      <w:r w:rsidR="009B16DD" w:rsidRPr="009B16DD">
        <w:rPr>
          <w:caps w:val="0"/>
        </w:rPr>
        <w:t>art. 9§</w:t>
      </w:r>
      <w:r w:rsidR="009B16DD">
        <w:rPr>
          <w:caps w:val="0"/>
        </w:rPr>
        <w:t>5</w:t>
      </w:r>
      <w:r w:rsidR="009B16DD" w:rsidRPr="009B16DD">
        <w:rPr>
          <w:caps w:val="0"/>
        </w:rPr>
        <w:t xml:space="preserve"> van het besluit </w:t>
      </w:r>
      <w:r w:rsidR="009B16DD">
        <w:rPr>
          <w:caps w:val="0"/>
        </w:rPr>
        <w:t>s</w:t>
      </w:r>
      <w:r w:rsidR="009B16DD" w:rsidRPr="009B16DD">
        <w:rPr>
          <w:caps w:val="0"/>
        </w:rPr>
        <w:t>ingle audit</w:t>
      </w:r>
      <w:r w:rsidR="009B16DD">
        <w:t>)</w:t>
      </w:r>
    </w:p>
    <w:p w14:paraId="73F3D623" w14:textId="77777777" w:rsidR="0022588C" w:rsidRPr="00412EB5" w:rsidRDefault="0022588C" w:rsidP="0022588C">
      <w:pPr>
        <w:rPr>
          <w:lang w:val="nl-BE"/>
        </w:rPr>
      </w:pPr>
    </w:p>
    <w:p w14:paraId="6FAC8088" w14:textId="77777777" w:rsidR="0022588C" w:rsidRPr="00412EB5" w:rsidRDefault="0022588C" w:rsidP="0022588C">
      <w:pPr>
        <w:jc w:val="both"/>
        <w:rPr>
          <w:lang w:val="nl-BE"/>
        </w:rPr>
      </w:pPr>
      <w:r w:rsidRPr="00412EB5">
        <w:rPr>
          <w:lang w:val="nl-BE"/>
        </w:rPr>
        <w:t xml:space="preserve">Overeenkomstig </w:t>
      </w:r>
      <w:r w:rsidR="00036C9C" w:rsidRPr="00412EB5">
        <w:rPr>
          <w:lang w:val="nl-BE"/>
        </w:rPr>
        <w:t xml:space="preserve">artikel 9, </w:t>
      </w:r>
      <w:r w:rsidR="00036C9C" w:rsidRPr="00412EB5">
        <w:rPr>
          <w:rFonts w:cs="Calibri"/>
          <w:lang w:val="nl-BE"/>
        </w:rPr>
        <w:t>§</w:t>
      </w:r>
      <w:r w:rsidR="00036C9C" w:rsidRPr="00412EB5">
        <w:rPr>
          <w:lang w:val="nl-BE"/>
        </w:rPr>
        <w:t>5 van het besluit van de Vlaamse Regering van 7 september 2012 betreffende controle en single audit, werd, bijkomend aan onze controle van de jaarrekening conform het rekendecreet en de uitvoeringsbesluiten waarover wij in het eerste deel van deze bundel verslag hebben uitgebracht, een controle gepland en uitgevoerd om een conclusie met redelijke mate van zekerheid te geven omtrent de naleving van de beslissingen en toekenningsvoorwaarden opgelegd door de regulerende overheid, bij de uitvoering van de begroting voo</w:t>
      </w:r>
      <w:r w:rsidR="00284BDD" w:rsidRPr="00412EB5">
        <w:rPr>
          <w:lang w:val="nl-BE"/>
        </w:rPr>
        <w:t>r het boekjaar afgesloten op 31 </w:t>
      </w:r>
      <w:r w:rsidR="00036C9C" w:rsidRPr="00412EB5">
        <w:rPr>
          <w:lang w:val="nl-BE"/>
        </w:rPr>
        <w:t xml:space="preserve">december </w:t>
      </w:r>
      <w:r w:rsidR="00036C9C" w:rsidRPr="00143CD4">
        <w:rPr>
          <w:szCs w:val="22"/>
          <w:highlight w:val="lightGray"/>
          <w:lang w:val="nl-BE"/>
        </w:rPr>
        <w:t>20_</w:t>
      </w:r>
      <w:r w:rsidR="00036C9C" w:rsidRPr="00412EB5">
        <w:rPr>
          <w:lang w:val="nl-BE"/>
        </w:rPr>
        <w:t xml:space="preserve"> , en de rapportering betreffende de uitvoering van de begroting.</w:t>
      </w:r>
    </w:p>
    <w:p w14:paraId="709BA694" w14:textId="3A87AE38" w:rsidR="00036C9C" w:rsidRPr="00412EB5" w:rsidRDefault="00036C9C" w:rsidP="0022588C">
      <w:pPr>
        <w:jc w:val="both"/>
        <w:rPr>
          <w:b/>
          <w:lang w:val="nl-BE"/>
        </w:rPr>
      </w:pPr>
    </w:p>
    <w:p w14:paraId="1E527F44" w14:textId="77777777" w:rsidR="00036C9C" w:rsidRPr="009057C8" w:rsidRDefault="00036C9C" w:rsidP="009057C8">
      <w:pPr>
        <w:spacing w:after="200" w:line="276" w:lineRule="auto"/>
        <w:rPr>
          <w:rFonts w:ascii="Times New Roman" w:eastAsia="Calibri" w:hAnsi="Times New Roman"/>
          <w:b/>
          <w:color w:val="1F497D" w:themeColor="text2"/>
          <w:sz w:val="28"/>
          <w:szCs w:val="28"/>
          <w:lang w:val="nl-BE"/>
        </w:rPr>
      </w:pPr>
      <w:r w:rsidRPr="009057C8">
        <w:rPr>
          <w:rFonts w:ascii="Times New Roman" w:eastAsia="Calibri" w:hAnsi="Times New Roman"/>
          <w:b/>
          <w:color w:val="1F497D" w:themeColor="text2"/>
          <w:sz w:val="28"/>
          <w:szCs w:val="28"/>
          <w:lang w:val="nl-BE"/>
        </w:rPr>
        <w:t>Naleving van de beslissingen en toekenningsvoorwaarden opgelegd door de regulerende overheid bij de uitvoering van de begroting en de rapportering desbetreffend</w:t>
      </w:r>
    </w:p>
    <w:p w14:paraId="2B6F9A42" w14:textId="77777777" w:rsidR="00036C9C" w:rsidRPr="009057C8" w:rsidRDefault="00036C9C" w:rsidP="009057C8">
      <w:pPr>
        <w:spacing w:after="200" w:line="276" w:lineRule="auto"/>
        <w:jc w:val="both"/>
        <w:rPr>
          <w:rFonts w:ascii="Times New Roman" w:eastAsia="Calibri" w:hAnsi="Times New Roman"/>
          <w:b/>
          <w:i/>
          <w:color w:val="1F497D" w:themeColor="text2"/>
          <w:sz w:val="24"/>
          <w:lang w:val="nl-BE"/>
        </w:rPr>
      </w:pPr>
      <w:r w:rsidRPr="009057C8">
        <w:rPr>
          <w:rFonts w:ascii="Times New Roman" w:eastAsia="Calibri" w:hAnsi="Times New Roman"/>
          <w:b/>
          <w:i/>
          <w:color w:val="1F497D" w:themeColor="text2"/>
          <w:sz w:val="24"/>
          <w:lang w:val="nl-BE"/>
        </w:rPr>
        <w:t>Verantwoordelijkheid van de [</w:t>
      </w:r>
      <w:r w:rsidR="00FF42B0" w:rsidRPr="00143CD4">
        <w:rPr>
          <w:rFonts w:ascii="Times New Roman" w:eastAsia="Calibri" w:hAnsi="Times New Roman"/>
          <w:b/>
          <w:i/>
          <w:color w:val="1F497D" w:themeColor="text2"/>
          <w:sz w:val="24"/>
          <w:highlight w:val="lightGray"/>
          <w:lang w:val="nl-BE"/>
        </w:rPr>
        <w:t>raad van bestuur</w:t>
      </w:r>
      <w:r w:rsidRPr="009057C8">
        <w:rPr>
          <w:rFonts w:ascii="Times New Roman" w:eastAsia="Calibri" w:hAnsi="Times New Roman"/>
          <w:b/>
          <w:i/>
          <w:color w:val="1F497D" w:themeColor="text2"/>
          <w:sz w:val="24"/>
          <w:lang w:val="nl-BE"/>
        </w:rPr>
        <w:t>] voor het naleven van de beslissingen en toekenningsvoorwaarden opgelegd door de regulerende overheid verbonden aan de begroting</w:t>
      </w:r>
    </w:p>
    <w:p w14:paraId="737DA09A" w14:textId="77777777" w:rsidR="00036C9C" w:rsidRPr="00412EB5" w:rsidRDefault="00036C9C" w:rsidP="00284BDD">
      <w:pPr>
        <w:jc w:val="both"/>
        <w:rPr>
          <w:lang w:val="nl-BE"/>
        </w:rPr>
      </w:pPr>
    </w:p>
    <w:p w14:paraId="358730DA" w14:textId="1F98AC8D" w:rsidR="00036C9C" w:rsidRDefault="00036C9C" w:rsidP="00284BDD">
      <w:pPr>
        <w:jc w:val="both"/>
        <w:rPr>
          <w:lang w:val="nl-BE"/>
        </w:rPr>
      </w:pPr>
      <w:r w:rsidRPr="00412EB5">
        <w:rPr>
          <w:lang w:val="nl-BE"/>
        </w:rPr>
        <w:t xml:space="preserve">De </w:t>
      </w:r>
      <w:r w:rsidRPr="00143CD4">
        <w:rPr>
          <w:highlight w:val="lightGray"/>
          <w:lang w:val="nl-BE"/>
        </w:rPr>
        <w:t>[</w:t>
      </w:r>
      <w:r w:rsidR="00FF42B0" w:rsidRPr="00143CD4">
        <w:rPr>
          <w:highlight w:val="lightGray"/>
          <w:lang w:val="nl-BE"/>
        </w:rPr>
        <w:t>raad van bestuur</w:t>
      </w:r>
      <w:r w:rsidRPr="00143CD4">
        <w:rPr>
          <w:highlight w:val="lightGray"/>
          <w:lang w:val="nl-BE"/>
        </w:rPr>
        <w:t>]</w:t>
      </w:r>
      <w:r w:rsidRPr="00412EB5">
        <w:rPr>
          <w:lang w:val="nl-BE"/>
        </w:rPr>
        <w:t xml:space="preserve"> is verantwoordelijk voor het opstellen van de begroting alsook voor de naleving van de relevante wet- en regelgeving bij de uitvoering van de begroting en voor de rapportering desbetreffend.</w:t>
      </w:r>
    </w:p>
    <w:p w14:paraId="3F20689A" w14:textId="6AACFF46" w:rsidR="000B1204" w:rsidRDefault="000B1204" w:rsidP="00284BDD">
      <w:pPr>
        <w:jc w:val="both"/>
        <w:rPr>
          <w:lang w:val="nl-BE"/>
        </w:rPr>
      </w:pPr>
    </w:p>
    <w:p w14:paraId="09C9FF11" w14:textId="254AF277" w:rsidR="000B1204" w:rsidRPr="00412EB5" w:rsidRDefault="000B1204" w:rsidP="00284BDD">
      <w:pPr>
        <w:jc w:val="both"/>
        <w:rPr>
          <w:lang w:val="nl-BE"/>
        </w:rPr>
      </w:pPr>
      <w:r w:rsidRPr="001232B2">
        <w:rPr>
          <w:lang w:val="nl-BE"/>
        </w:rPr>
        <w:t xml:space="preserve">De </w:t>
      </w:r>
      <w:r w:rsidRPr="000B1204">
        <w:rPr>
          <w:highlight w:val="lightGray"/>
          <w:lang w:val="nl-BE"/>
        </w:rPr>
        <w:t>[raad van bestuur]</w:t>
      </w:r>
      <w:r w:rsidRPr="001232B2">
        <w:rPr>
          <w:lang w:val="nl-BE"/>
        </w:rPr>
        <w:t xml:space="preserve"> is </w:t>
      </w:r>
      <w:r>
        <w:rPr>
          <w:lang w:val="nl-BE"/>
        </w:rPr>
        <w:t xml:space="preserve">tevens </w:t>
      </w:r>
      <w:r w:rsidRPr="001232B2">
        <w:rPr>
          <w:lang w:val="nl-BE"/>
        </w:rPr>
        <w:t xml:space="preserve">verantwoordelijk voor het opstellen </w:t>
      </w:r>
      <w:r>
        <w:rPr>
          <w:szCs w:val="22"/>
          <w:lang w:val="nl-BE"/>
        </w:rPr>
        <w:t xml:space="preserve">van Deel II Budgettaire rapportering van de rapporteringssjabloon Vlaamse Overheid, </w:t>
      </w:r>
      <w:r w:rsidRPr="001232B2">
        <w:rPr>
          <w:szCs w:val="22"/>
          <w:lang w:val="nl-BE"/>
        </w:rPr>
        <w:t>o</w:t>
      </w:r>
      <w:r>
        <w:rPr>
          <w:szCs w:val="22"/>
          <w:lang w:val="nl-BE"/>
        </w:rPr>
        <w:t>pgesteld</w:t>
      </w:r>
      <w:r w:rsidRPr="001232B2">
        <w:rPr>
          <w:szCs w:val="22"/>
          <w:lang w:val="nl-BE"/>
        </w:rPr>
        <w:t xml:space="preserve"> ten behoeve van de Vlaamse Regering en het </w:t>
      </w:r>
      <w:r w:rsidRPr="00AF4E46">
        <w:rPr>
          <w:szCs w:val="22"/>
          <w:lang w:val="nl-BE"/>
        </w:rPr>
        <w:t>Rekenhof en van de diensten van het Vlaams ministerie, bevoegd voor het financiële en budgettaire beleid, die belast zijn met de opmaak en consolidatie van de algemene rekeningen</w:t>
      </w:r>
      <w:r>
        <w:rPr>
          <w:szCs w:val="22"/>
          <w:lang w:val="nl-BE"/>
        </w:rPr>
        <w:t>, overeenkomstig de richtlijnen uitgevaardigd door het Departement Financiën en Begroting.</w:t>
      </w:r>
    </w:p>
    <w:p w14:paraId="1E69ED3F" w14:textId="77777777" w:rsidR="00036C9C" w:rsidRPr="00412EB5" w:rsidRDefault="00036C9C" w:rsidP="00284BDD">
      <w:pPr>
        <w:jc w:val="both"/>
        <w:rPr>
          <w:lang w:val="nl-BE"/>
        </w:rPr>
      </w:pPr>
    </w:p>
    <w:p w14:paraId="23099150" w14:textId="77777777" w:rsidR="00036C9C" w:rsidRPr="009057C8" w:rsidRDefault="005652C3" w:rsidP="009057C8">
      <w:pPr>
        <w:spacing w:after="200" w:line="276" w:lineRule="auto"/>
        <w:jc w:val="both"/>
        <w:rPr>
          <w:rFonts w:ascii="Times New Roman" w:eastAsia="Calibri" w:hAnsi="Times New Roman"/>
          <w:b/>
          <w:i/>
          <w:color w:val="1F497D" w:themeColor="text2"/>
          <w:sz w:val="24"/>
          <w:lang w:val="nl-BE"/>
        </w:rPr>
      </w:pPr>
      <w:r w:rsidRPr="009057C8">
        <w:rPr>
          <w:rFonts w:ascii="Times New Roman" w:eastAsia="Calibri" w:hAnsi="Times New Roman"/>
          <w:b/>
          <w:i/>
          <w:color w:val="1F497D" w:themeColor="text2"/>
          <w:sz w:val="24"/>
          <w:lang w:val="nl-BE"/>
        </w:rPr>
        <w:t>Verantwoordelijkheid van de [</w:t>
      </w:r>
      <w:r w:rsidRPr="00143CD4">
        <w:rPr>
          <w:rFonts w:ascii="Times New Roman" w:eastAsia="Calibri" w:hAnsi="Times New Roman"/>
          <w:b/>
          <w:i/>
          <w:color w:val="1F497D" w:themeColor="text2"/>
          <w:sz w:val="24"/>
          <w:highlight w:val="lightGray"/>
          <w:lang w:val="nl-BE"/>
        </w:rPr>
        <w:t>bedrijfsrevisor</w:t>
      </w:r>
      <w:r w:rsidRPr="009057C8">
        <w:rPr>
          <w:rFonts w:ascii="Times New Roman" w:eastAsia="Calibri" w:hAnsi="Times New Roman"/>
          <w:b/>
          <w:i/>
          <w:color w:val="1F497D" w:themeColor="text2"/>
          <w:sz w:val="24"/>
          <w:lang w:val="nl-BE"/>
        </w:rPr>
        <w:t>] met betrekking tot de controle van de naleving van de relevante wet- en regelgeving bij de uitvoering van de begroting</w:t>
      </w:r>
    </w:p>
    <w:p w14:paraId="62B47BAB" w14:textId="600E0A70" w:rsidR="00284BDD" w:rsidRDefault="005652C3" w:rsidP="00284BDD">
      <w:pPr>
        <w:jc w:val="both"/>
        <w:rPr>
          <w:rFonts w:cs="Calibri"/>
          <w:szCs w:val="22"/>
          <w:lang w:val="nl-BE"/>
        </w:rPr>
      </w:pPr>
      <w:r w:rsidRPr="00412EB5">
        <w:rPr>
          <w:rFonts w:cs="Calibri"/>
          <w:szCs w:val="22"/>
          <w:lang w:val="nl-BE"/>
        </w:rPr>
        <w:t xml:space="preserve">Het is onze verantwoordelijkheid om een conclusie te geven op grond van onze beoordeling. Wij hebben onze werkzaamheden uitgevoerd volgens de </w:t>
      </w:r>
      <w:r w:rsidRPr="00412EB5">
        <w:rPr>
          <w:rFonts w:cs="Calibri"/>
          <w:i/>
          <w:szCs w:val="22"/>
          <w:lang w:val="nl-BE"/>
        </w:rPr>
        <w:t xml:space="preserve">International Standard for Assurance Engagements 3000 </w:t>
      </w:r>
      <w:r w:rsidRPr="00412EB5">
        <w:rPr>
          <w:rFonts w:cs="Calibri"/>
          <w:szCs w:val="22"/>
          <w:lang w:val="nl-BE"/>
        </w:rPr>
        <w:t xml:space="preserve">(ISAE 3000). Deze standaard vereist dat wij deontologische voorschriften naleven alsook de beoordeling plannen en uitvoeren teneinde een redelijke mate van zekerheid te verkrijgen over de vraag of de uitvoering van de begroting en de rapportering desbetreffend, in alle van materieel belang zijnde opzichten, in overeenstemming is met de wet- en regelgeving hierop van toepassing. </w:t>
      </w:r>
      <w:r w:rsidR="00A503EF">
        <w:rPr>
          <w:rFonts w:cs="Calibri"/>
          <w:szCs w:val="22"/>
          <w:lang w:val="nl-BE"/>
        </w:rPr>
        <w:t xml:space="preserve">Deze standaard vereist tevens dat het kantoor ISQC1 toepast en derhalve beschikt over een systeem van interne kwaliteitsbewaking, inclusief geschreven procedures, procedures aangaande de compliance met ethische en professionele vereisten alsmede wettelijke en regelgevende vereisten. </w:t>
      </w:r>
    </w:p>
    <w:p w14:paraId="6F35E8A2" w14:textId="77777777" w:rsidR="00A503EF" w:rsidRDefault="00A503EF" w:rsidP="00284BDD">
      <w:pPr>
        <w:jc w:val="both"/>
        <w:rPr>
          <w:rFonts w:cs="Calibri"/>
          <w:szCs w:val="22"/>
          <w:lang w:val="nl-BE"/>
        </w:rPr>
      </w:pPr>
    </w:p>
    <w:p w14:paraId="2974D6D1" w14:textId="77777777" w:rsidR="00A503EF" w:rsidRDefault="00A503EF" w:rsidP="00284BDD">
      <w:pPr>
        <w:jc w:val="both"/>
        <w:rPr>
          <w:rFonts w:cs="Calibri"/>
          <w:szCs w:val="22"/>
          <w:lang w:val="nl-BE"/>
        </w:rPr>
      </w:pPr>
      <w:r>
        <w:rPr>
          <w:rFonts w:cs="Calibri"/>
          <w:szCs w:val="22"/>
          <w:lang w:val="nl-BE"/>
        </w:rPr>
        <w:t xml:space="preserve">Bij het uitvoeren van onze opdracht hebben wij de gehandeld in overeenstemming met de vereisten aangaande onafhankelijkheid en beroepsethiek zoals deze zijn opgenomen in de Belgische wetgeving en in de Code of Ethics zoals uitgegeven door de “International Ethics Standards Board for Accountants”. Deze vereisten zijn gestoeld op de principes van integriteit, objectiviteit, professionele competenties, confidentialiteit en professioneel gedrag. </w:t>
      </w:r>
    </w:p>
    <w:p w14:paraId="022A8AF0" w14:textId="0261E0B4" w:rsidR="00A503EF" w:rsidRPr="00412EB5" w:rsidRDefault="00A503EF" w:rsidP="00284BDD">
      <w:pPr>
        <w:jc w:val="both"/>
        <w:rPr>
          <w:rFonts w:cs="Calibri"/>
          <w:szCs w:val="22"/>
          <w:lang w:val="nl-BE"/>
        </w:rPr>
      </w:pPr>
      <w:r>
        <w:rPr>
          <w:rFonts w:cs="Calibri"/>
          <w:szCs w:val="22"/>
          <w:lang w:val="nl-BE"/>
        </w:rPr>
        <w:t xml:space="preserve"> </w:t>
      </w:r>
    </w:p>
    <w:p w14:paraId="40F93C11" w14:textId="27073CC9" w:rsidR="005652C3" w:rsidRPr="00412EB5" w:rsidRDefault="005652C3" w:rsidP="00284BDD">
      <w:pPr>
        <w:jc w:val="both"/>
        <w:rPr>
          <w:rFonts w:cs="Calibri"/>
          <w:szCs w:val="22"/>
          <w:lang w:val="nl-BE"/>
        </w:rPr>
      </w:pPr>
      <w:r w:rsidRPr="00412EB5">
        <w:rPr>
          <w:rFonts w:cs="Calibri"/>
          <w:szCs w:val="22"/>
          <w:lang w:val="nl-BE"/>
        </w:rPr>
        <w:t xml:space="preserve">De geselecteerde werkzaamheden zijn afhankelijk van de beoordeling door de </w:t>
      </w:r>
      <w:r w:rsidRPr="00143CD4">
        <w:rPr>
          <w:rFonts w:cs="Calibri"/>
          <w:szCs w:val="22"/>
          <w:highlight w:val="lightGray"/>
          <w:lang w:val="nl-BE"/>
        </w:rPr>
        <w:t>[bedrijfsrevisor]</w:t>
      </w:r>
      <w:r w:rsidRPr="00412EB5">
        <w:rPr>
          <w:rFonts w:cs="Calibri"/>
          <w:szCs w:val="22"/>
          <w:lang w:val="nl-BE"/>
        </w:rPr>
        <w:t>, met inbegrip van diens inschatting van de risico’s van een afwijking van materieel belang in de overeenstemming.</w:t>
      </w:r>
    </w:p>
    <w:p w14:paraId="34823610" w14:textId="77777777" w:rsidR="005652C3" w:rsidRPr="00412EB5" w:rsidRDefault="005652C3" w:rsidP="00284BDD">
      <w:pPr>
        <w:jc w:val="both"/>
        <w:rPr>
          <w:lang w:val="nl-BE"/>
        </w:rPr>
      </w:pPr>
    </w:p>
    <w:p w14:paraId="0260CE25" w14:textId="77777777" w:rsidR="005652C3" w:rsidRPr="00412EB5" w:rsidRDefault="005652C3" w:rsidP="00284BDD">
      <w:pPr>
        <w:spacing w:after="120"/>
        <w:jc w:val="both"/>
        <w:rPr>
          <w:lang w:val="nl-BE"/>
        </w:rPr>
      </w:pPr>
      <w:r w:rsidRPr="00412EB5">
        <w:rPr>
          <w:lang w:val="nl-BE"/>
        </w:rPr>
        <w:t>De omvang van onze werkzaamheden bestond onder meer uit de volgende punten:</w:t>
      </w:r>
    </w:p>
    <w:p w14:paraId="56D11C1C" w14:textId="77777777" w:rsidR="005652C3" w:rsidRPr="00412EB5" w:rsidRDefault="005652C3" w:rsidP="00284BDD">
      <w:pPr>
        <w:pStyle w:val="Lijstalinea"/>
        <w:numPr>
          <w:ilvl w:val="0"/>
          <w:numId w:val="2"/>
        </w:numPr>
        <w:spacing w:after="120"/>
        <w:ind w:left="714" w:hanging="357"/>
        <w:contextualSpacing w:val="0"/>
        <w:jc w:val="both"/>
        <w:rPr>
          <w:lang w:val="nl-BE"/>
        </w:rPr>
      </w:pPr>
      <w:r w:rsidRPr="00412EB5">
        <w:rPr>
          <w:lang w:val="nl-BE"/>
        </w:rPr>
        <w:t>Nagaan of de budgettaire items zoals wettelijk opgelegd alle en overeenstemmend werden opgenomen in de budgettaire rapportering;</w:t>
      </w:r>
    </w:p>
    <w:p w14:paraId="2F3040A2" w14:textId="77777777" w:rsidR="005652C3" w:rsidRPr="00412EB5" w:rsidRDefault="00284BDD" w:rsidP="00284BDD">
      <w:pPr>
        <w:pStyle w:val="Lijstalinea"/>
        <w:numPr>
          <w:ilvl w:val="0"/>
          <w:numId w:val="2"/>
        </w:numPr>
        <w:spacing w:after="120"/>
        <w:ind w:left="714" w:hanging="357"/>
        <w:contextualSpacing w:val="0"/>
        <w:jc w:val="both"/>
        <w:rPr>
          <w:lang w:val="nl-BE"/>
        </w:rPr>
      </w:pPr>
      <w:r w:rsidRPr="00412EB5">
        <w:rPr>
          <w:lang w:val="nl-BE"/>
        </w:rPr>
        <w:t>Nagaan of het formaat en d</w:t>
      </w:r>
      <w:r w:rsidR="005652C3" w:rsidRPr="00412EB5">
        <w:rPr>
          <w:lang w:val="nl-BE"/>
        </w:rPr>
        <w:t>e items van de “budgettaire rekening” overeenstemmen met die van het budget en omgekeerd;</w:t>
      </w:r>
    </w:p>
    <w:p w14:paraId="692C44E4" w14:textId="77777777" w:rsidR="005652C3" w:rsidRPr="00412EB5" w:rsidRDefault="005652C3" w:rsidP="00284BDD">
      <w:pPr>
        <w:pStyle w:val="Lijstalinea"/>
        <w:numPr>
          <w:ilvl w:val="0"/>
          <w:numId w:val="2"/>
        </w:numPr>
        <w:spacing w:after="120"/>
        <w:ind w:left="714" w:hanging="357"/>
        <w:contextualSpacing w:val="0"/>
        <w:jc w:val="both"/>
        <w:rPr>
          <w:lang w:val="nl-BE"/>
        </w:rPr>
      </w:pPr>
      <w:r w:rsidRPr="00412EB5">
        <w:rPr>
          <w:lang w:val="nl-BE"/>
        </w:rPr>
        <w:t>Nagaan of er geen budgetten werden overbesteed;</w:t>
      </w:r>
    </w:p>
    <w:p w14:paraId="625BC7F3" w14:textId="77777777" w:rsidR="005652C3" w:rsidRPr="00412EB5" w:rsidRDefault="005652C3" w:rsidP="00284BDD">
      <w:pPr>
        <w:pStyle w:val="Lijstalinea"/>
        <w:numPr>
          <w:ilvl w:val="0"/>
          <w:numId w:val="2"/>
        </w:numPr>
        <w:spacing w:after="120"/>
        <w:ind w:left="714" w:hanging="357"/>
        <w:contextualSpacing w:val="0"/>
        <w:jc w:val="both"/>
        <w:rPr>
          <w:lang w:val="nl-BE"/>
        </w:rPr>
      </w:pPr>
      <w:r w:rsidRPr="00412EB5">
        <w:rPr>
          <w:lang w:val="nl-BE"/>
        </w:rPr>
        <w:t>Controleren of budgetwijzigingen zijn verlopen conform de reglementering, in het bijzonder op geautoriseerde wijze;</w:t>
      </w:r>
    </w:p>
    <w:p w14:paraId="7612AF68" w14:textId="77777777" w:rsidR="005652C3" w:rsidRPr="00412EB5" w:rsidRDefault="005652C3" w:rsidP="00284BDD">
      <w:pPr>
        <w:pStyle w:val="Lijstalinea"/>
        <w:numPr>
          <w:ilvl w:val="0"/>
          <w:numId w:val="2"/>
        </w:numPr>
        <w:spacing w:after="120"/>
        <w:ind w:left="714" w:hanging="357"/>
        <w:contextualSpacing w:val="0"/>
        <w:jc w:val="both"/>
        <w:rPr>
          <w:lang w:val="nl-BE"/>
        </w:rPr>
      </w:pPr>
      <w:r w:rsidRPr="00412EB5">
        <w:rPr>
          <w:lang w:val="nl-BE"/>
        </w:rPr>
        <w:t>Controleren of budgetoverdrachten zijn verlopen conform de reglementering, in het bijzonder op geautoriseerde wijze;</w:t>
      </w:r>
    </w:p>
    <w:p w14:paraId="45E02BD5" w14:textId="77777777" w:rsidR="005652C3" w:rsidRPr="00412EB5" w:rsidRDefault="005652C3" w:rsidP="00284BDD">
      <w:pPr>
        <w:pStyle w:val="Lijstalinea"/>
        <w:numPr>
          <w:ilvl w:val="0"/>
          <w:numId w:val="2"/>
        </w:numPr>
        <w:spacing w:after="120"/>
        <w:ind w:left="714" w:hanging="357"/>
        <w:contextualSpacing w:val="0"/>
        <w:jc w:val="both"/>
        <w:rPr>
          <w:lang w:val="nl-BE"/>
        </w:rPr>
      </w:pPr>
      <w:r w:rsidRPr="00412EB5">
        <w:rPr>
          <w:lang w:val="nl-BE"/>
        </w:rPr>
        <w:t>Nagaan of de vormvereisten van de budgettaire rapportering werden nageleefd;</w:t>
      </w:r>
    </w:p>
    <w:p w14:paraId="43FE5861" w14:textId="4D7EEB0E" w:rsidR="005652C3" w:rsidRPr="00412EB5" w:rsidRDefault="005652C3" w:rsidP="00284BDD">
      <w:pPr>
        <w:pStyle w:val="Lijstalinea"/>
        <w:numPr>
          <w:ilvl w:val="0"/>
          <w:numId w:val="2"/>
        </w:numPr>
        <w:spacing w:after="120"/>
        <w:ind w:left="714" w:hanging="357"/>
        <w:contextualSpacing w:val="0"/>
        <w:jc w:val="both"/>
        <w:rPr>
          <w:lang w:val="nl-BE"/>
        </w:rPr>
      </w:pPr>
      <w:r w:rsidRPr="00412EB5">
        <w:rPr>
          <w:lang w:val="nl-BE"/>
        </w:rPr>
        <w:t xml:space="preserve">Controleren van de aansluiting tussen </w:t>
      </w:r>
      <w:r w:rsidR="000B1204">
        <w:rPr>
          <w:lang w:val="nl-BE"/>
        </w:rPr>
        <w:t>het bedrijfseconomisch resultaat en het begrotingsresultaat, opgenomen in toelichting 19 van Deel II Budgettaire rapportering</w:t>
      </w:r>
    </w:p>
    <w:p w14:paraId="0F915E74" w14:textId="77777777" w:rsidR="005652C3" w:rsidRPr="00412EB5" w:rsidRDefault="005652C3" w:rsidP="00284BDD">
      <w:pPr>
        <w:jc w:val="both"/>
        <w:rPr>
          <w:lang w:val="nl-BE"/>
        </w:rPr>
      </w:pPr>
    </w:p>
    <w:p w14:paraId="197F70A9" w14:textId="5BB3C0D0" w:rsidR="005652C3" w:rsidRPr="00412EB5" w:rsidRDefault="005652C3" w:rsidP="00284BDD">
      <w:pPr>
        <w:jc w:val="both"/>
        <w:rPr>
          <w:lang w:val="nl-BE"/>
        </w:rPr>
      </w:pPr>
      <w:r w:rsidRPr="00412EB5">
        <w:rPr>
          <w:lang w:val="nl-BE"/>
        </w:rPr>
        <w:t>Wij zijn van mening dat de door ons verkregen controle-informatie voldoende en geschikt is om daarop onze conclusie te baseren.</w:t>
      </w:r>
    </w:p>
    <w:p w14:paraId="4911BC1D" w14:textId="77777777" w:rsidR="00284BDD" w:rsidRPr="00412EB5" w:rsidRDefault="00284BDD" w:rsidP="00284BDD">
      <w:pPr>
        <w:jc w:val="both"/>
        <w:rPr>
          <w:lang w:val="nl-BE"/>
        </w:rPr>
      </w:pPr>
    </w:p>
    <w:p w14:paraId="486A91A1" w14:textId="77777777" w:rsidR="005652C3" w:rsidRPr="00412EB5" w:rsidRDefault="005652C3" w:rsidP="009057C8">
      <w:pPr>
        <w:spacing w:after="200" w:line="276" w:lineRule="auto"/>
        <w:jc w:val="both"/>
        <w:rPr>
          <w:lang w:val="nl-BE"/>
        </w:rPr>
      </w:pPr>
      <w:r w:rsidRPr="009057C8">
        <w:rPr>
          <w:rFonts w:ascii="Times New Roman" w:eastAsia="Calibri" w:hAnsi="Times New Roman"/>
          <w:b/>
          <w:i/>
          <w:color w:val="1F497D" w:themeColor="text2"/>
          <w:sz w:val="24"/>
          <w:lang w:val="nl-BE"/>
        </w:rPr>
        <w:t>Conclusie omtrent de uitvoering van de begroting</w:t>
      </w:r>
    </w:p>
    <w:p w14:paraId="2F0EF427" w14:textId="77777777" w:rsidR="005652C3" w:rsidRPr="00412EB5" w:rsidRDefault="005652C3" w:rsidP="00284BDD">
      <w:pPr>
        <w:jc w:val="both"/>
        <w:rPr>
          <w:rFonts w:cs="Calibri"/>
          <w:szCs w:val="22"/>
          <w:lang w:val="nl-BE"/>
        </w:rPr>
      </w:pPr>
      <w:r w:rsidRPr="00412EB5">
        <w:rPr>
          <w:rFonts w:cs="Calibri"/>
          <w:szCs w:val="22"/>
          <w:lang w:val="nl-BE"/>
        </w:rPr>
        <w:t>Naar ons oordeel is de uitvoering van de begroting</w:t>
      </w:r>
      <w:r w:rsidR="00CF0038" w:rsidRPr="00412EB5">
        <w:rPr>
          <w:rFonts w:cs="Calibri"/>
          <w:szCs w:val="22"/>
          <w:lang w:val="nl-BE"/>
        </w:rPr>
        <w:t xml:space="preserve"> en de aansluiting van de uitvoering van de begroting bij de jaarrekening conform het rekendecreet en de uitvoeringsbesluiten</w:t>
      </w:r>
      <w:r w:rsidRPr="00412EB5">
        <w:rPr>
          <w:rFonts w:cs="Calibri"/>
          <w:szCs w:val="22"/>
          <w:lang w:val="nl-BE"/>
        </w:rPr>
        <w:t>, in alle van materieel belang zijnde opzichten, in overeenstemming met de beslissingen en toekenningsvoorwaarden opgesteld door de regulerende overheid.</w:t>
      </w:r>
    </w:p>
    <w:p w14:paraId="6BB93795" w14:textId="77777777" w:rsidR="00CF0038" w:rsidRPr="00412EB5" w:rsidRDefault="00CF0038" w:rsidP="005652C3">
      <w:pPr>
        <w:rPr>
          <w:rFonts w:cs="Calibri"/>
          <w:szCs w:val="22"/>
          <w:lang w:val="nl-BE"/>
        </w:rPr>
      </w:pPr>
    </w:p>
    <w:p w14:paraId="1268C486" w14:textId="71B708F2" w:rsidR="00CF0038" w:rsidRPr="00143CD4" w:rsidRDefault="00CF0038" w:rsidP="00143CD4">
      <w:pPr>
        <w:jc w:val="both"/>
        <w:rPr>
          <w:rFonts w:cs="Calibri"/>
          <w:szCs w:val="22"/>
          <w:highlight w:val="lightGray"/>
          <w:lang w:val="nl-BE"/>
        </w:rPr>
      </w:pPr>
      <w:r w:rsidRPr="00143CD4">
        <w:rPr>
          <w:rFonts w:cs="Calibri"/>
          <w:szCs w:val="22"/>
          <w:highlight w:val="lightGray"/>
          <w:lang w:val="nl-BE"/>
        </w:rPr>
        <w:t>Plaats, datum</w:t>
      </w:r>
      <w:r w:rsidR="009057C8" w:rsidRPr="00143CD4">
        <w:rPr>
          <w:rFonts w:cs="Calibri"/>
          <w:szCs w:val="22"/>
          <w:highlight w:val="lightGray"/>
          <w:lang w:val="nl-BE"/>
        </w:rPr>
        <w:t>, handtekening</w:t>
      </w:r>
    </w:p>
    <w:p w14:paraId="74A564E0" w14:textId="77777777" w:rsidR="005B7833" w:rsidRPr="00143CD4" w:rsidRDefault="00CF0038" w:rsidP="00143CD4">
      <w:pPr>
        <w:jc w:val="both"/>
        <w:rPr>
          <w:rFonts w:cs="Calibri"/>
          <w:szCs w:val="22"/>
          <w:highlight w:val="lightGray"/>
          <w:lang w:val="nl-BE"/>
        </w:rPr>
      </w:pPr>
      <w:r w:rsidRPr="00143CD4">
        <w:rPr>
          <w:rFonts w:cs="Calibri"/>
          <w:szCs w:val="22"/>
          <w:highlight w:val="lightGray"/>
          <w:lang w:val="nl-BE"/>
        </w:rPr>
        <w:t xml:space="preserve">Bedrijfsrevisor </w:t>
      </w:r>
    </w:p>
    <w:p w14:paraId="5AF22F9A" w14:textId="529D3920" w:rsidR="00CF0038" w:rsidRPr="00143CD4" w:rsidRDefault="00CF0038" w:rsidP="00143CD4">
      <w:pPr>
        <w:jc w:val="both"/>
        <w:rPr>
          <w:rFonts w:cs="Calibri"/>
          <w:szCs w:val="22"/>
          <w:highlight w:val="lightGray"/>
          <w:lang w:val="nl-BE"/>
        </w:rPr>
      </w:pPr>
      <w:r w:rsidRPr="00143CD4">
        <w:rPr>
          <w:rFonts w:cs="Calibri"/>
          <w:szCs w:val="22"/>
          <w:highlight w:val="lightGray"/>
          <w:lang w:val="nl-BE"/>
        </w:rPr>
        <w:t>[Commissaris ]</w:t>
      </w:r>
    </w:p>
    <w:p w14:paraId="181904AF" w14:textId="77777777" w:rsidR="00CF0038" w:rsidRPr="00143CD4" w:rsidRDefault="00CF0038" w:rsidP="00143CD4">
      <w:pPr>
        <w:jc w:val="both"/>
        <w:rPr>
          <w:rFonts w:cs="Calibri"/>
          <w:szCs w:val="22"/>
          <w:lang w:val="nl-BE"/>
        </w:rPr>
      </w:pPr>
      <w:r w:rsidRPr="00143CD4">
        <w:rPr>
          <w:rFonts w:cs="Calibri"/>
          <w:szCs w:val="22"/>
          <w:lang w:val="nl-BE"/>
        </w:rPr>
        <w:t xml:space="preserve">vertegenwoordigd door </w:t>
      </w:r>
    </w:p>
    <w:p w14:paraId="12D569F8" w14:textId="77777777" w:rsidR="00CF0038" w:rsidRPr="00143CD4" w:rsidRDefault="00CF0038" w:rsidP="00143CD4">
      <w:pPr>
        <w:jc w:val="both"/>
        <w:rPr>
          <w:rFonts w:cs="Calibri"/>
          <w:szCs w:val="22"/>
          <w:highlight w:val="lightGray"/>
          <w:lang w:val="nl-BE"/>
        </w:rPr>
      </w:pPr>
      <w:r w:rsidRPr="00143CD4">
        <w:rPr>
          <w:rFonts w:cs="Calibri"/>
          <w:szCs w:val="22"/>
          <w:highlight w:val="lightGray"/>
          <w:lang w:val="nl-BE"/>
        </w:rPr>
        <w:t>Naam</w:t>
      </w:r>
    </w:p>
    <w:p w14:paraId="204F1202" w14:textId="77777777" w:rsidR="005652C3" w:rsidRPr="00143CD4" w:rsidRDefault="00CF0038" w:rsidP="00143CD4">
      <w:pPr>
        <w:jc w:val="both"/>
        <w:rPr>
          <w:rFonts w:cs="Calibri"/>
          <w:szCs w:val="22"/>
          <w:highlight w:val="lightGray"/>
          <w:lang w:val="nl-BE"/>
        </w:rPr>
      </w:pPr>
      <w:r w:rsidRPr="00143CD4">
        <w:rPr>
          <w:rFonts w:cs="Calibri"/>
          <w:szCs w:val="22"/>
          <w:highlight w:val="lightGray"/>
          <w:lang w:val="nl-BE"/>
        </w:rPr>
        <w:t>[vennoot, bedrijfsrevisor]</w:t>
      </w:r>
    </w:p>
    <w:p w14:paraId="14729213" w14:textId="77777777" w:rsidR="00CF0038" w:rsidRPr="00143CD4" w:rsidRDefault="00CF0038" w:rsidP="00143CD4">
      <w:pPr>
        <w:jc w:val="both"/>
        <w:rPr>
          <w:rFonts w:cs="Calibri"/>
          <w:szCs w:val="22"/>
          <w:highlight w:val="lightGray"/>
          <w:lang w:val="nl-BE"/>
        </w:rPr>
      </w:pPr>
    </w:p>
    <w:p w14:paraId="0A5A90FD" w14:textId="77777777" w:rsidR="00CF0038" w:rsidRPr="00143CD4" w:rsidRDefault="00CF0038" w:rsidP="00143CD4">
      <w:pPr>
        <w:jc w:val="both"/>
        <w:rPr>
          <w:rFonts w:cs="Calibri"/>
          <w:szCs w:val="22"/>
          <w:highlight w:val="lightGray"/>
          <w:lang w:val="nl-BE"/>
        </w:rPr>
        <w:sectPr w:rsidR="00CF0038" w:rsidRPr="00143CD4" w:rsidSect="00BB21F1">
          <w:footerReference w:type="default" r:id="rId9"/>
          <w:pgSz w:w="11907" w:h="16840" w:code="9"/>
          <w:pgMar w:top="2552" w:right="1134" w:bottom="1418" w:left="1588" w:header="709" w:footer="284" w:gutter="0"/>
          <w:cols w:space="720"/>
          <w:titlePg/>
          <w:docGrid w:linePitch="360"/>
        </w:sectPr>
      </w:pPr>
    </w:p>
    <w:p w14:paraId="4F78E239" w14:textId="3079BAB9" w:rsidR="00CF0038" w:rsidRPr="00412EB5" w:rsidRDefault="00363DD5" w:rsidP="000E0C16">
      <w:pPr>
        <w:pStyle w:val="Kop1"/>
      </w:pPr>
      <w:bookmarkStart w:id="17" w:name="_Toc381197308"/>
      <w:bookmarkStart w:id="18" w:name="_Toc381197311"/>
      <w:bookmarkStart w:id="19" w:name="_Toc381197314"/>
      <w:bookmarkStart w:id="20" w:name="_Toc381196920"/>
      <w:bookmarkStart w:id="21" w:name="_Toc381197020"/>
      <w:bookmarkStart w:id="22" w:name="_Toc381197037"/>
      <w:bookmarkStart w:id="23" w:name="_Toc381197040"/>
      <w:bookmarkStart w:id="24" w:name="_Toc381197046"/>
      <w:r w:rsidRPr="00412EB5">
        <w:lastRenderedPageBreak/>
        <w:t xml:space="preserve">single audit verslag van de </w:t>
      </w:r>
      <w:r w:rsidRPr="00143CD4">
        <w:rPr>
          <w:highlight w:val="lightGray"/>
        </w:rPr>
        <w:t>[bedrijfsrevisor]</w:t>
      </w:r>
      <w:r w:rsidRPr="00412EB5">
        <w:t xml:space="preserve"> aan de </w:t>
      </w:r>
      <w:r w:rsidRPr="00143CD4">
        <w:rPr>
          <w:highlight w:val="lightGray"/>
        </w:rPr>
        <w:t>[</w:t>
      </w:r>
      <w:r w:rsidR="00FF42B0" w:rsidRPr="00143CD4">
        <w:rPr>
          <w:highlight w:val="lightGray"/>
        </w:rPr>
        <w:t>raad van bestuur</w:t>
      </w:r>
      <w:r w:rsidRPr="00143CD4">
        <w:rPr>
          <w:highlight w:val="lightGray"/>
        </w:rPr>
        <w:t>]</w:t>
      </w:r>
      <w:r w:rsidRPr="00412EB5">
        <w:t xml:space="preserve"> van de vlaamse rechtspersoon </w:t>
      </w:r>
      <w:r w:rsidRPr="00143CD4">
        <w:rPr>
          <w:highlight w:val="lightGray"/>
        </w:rPr>
        <w:t>[_]</w:t>
      </w:r>
      <w:r w:rsidRPr="00412EB5">
        <w:t xml:space="preserve"> over de jaarlijkse esr-rapportering betreffende het boekjaar afgesloten op 31 december </w:t>
      </w:r>
      <w:r w:rsidRPr="00143CD4">
        <w:rPr>
          <w:highlight w:val="lightGray"/>
        </w:rPr>
        <w:t>20_</w:t>
      </w:r>
      <w:bookmarkEnd w:id="17"/>
      <w:bookmarkEnd w:id="18"/>
      <w:bookmarkEnd w:id="19"/>
      <w:r w:rsidRPr="00143CD4">
        <w:rPr>
          <w:highlight w:val="lightGray"/>
        </w:rPr>
        <w:t xml:space="preserve"> </w:t>
      </w:r>
      <w:bookmarkEnd w:id="20"/>
      <w:bookmarkEnd w:id="21"/>
      <w:bookmarkEnd w:id="22"/>
      <w:bookmarkEnd w:id="23"/>
      <w:bookmarkEnd w:id="24"/>
      <w:r w:rsidR="009B16DD" w:rsidRPr="00143CD4">
        <w:rPr>
          <w:highlight w:val="lightGray"/>
        </w:rPr>
        <w:t>(</w:t>
      </w:r>
      <w:r w:rsidR="009B16DD" w:rsidRPr="009B16DD">
        <w:rPr>
          <w:caps w:val="0"/>
        </w:rPr>
        <w:t>art. 9§</w:t>
      </w:r>
      <w:r w:rsidR="009B16DD">
        <w:rPr>
          <w:caps w:val="0"/>
        </w:rPr>
        <w:t>6</w:t>
      </w:r>
      <w:r w:rsidR="009B16DD" w:rsidRPr="009B16DD">
        <w:rPr>
          <w:caps w:val="0"/>
        </w:rPr>
        <w:t xml:space="preserve"> van het besluit Single audit</w:t>
      </w:r>
      <w:r w:rsidR="009B16DD">
        <w:t>)</w:t>
      </w:r>
      <w:r w:rsidR="000B1204" w:rsidRPr="000B1204">
        <w:rPr>
          <w:rStyle w:val="Voetnootmarkering"/>
          <w:highlight w:val="yellow"/>
        </w:rPr>
        <w:t xml:space="preserve"> </w:t>
      </w:r>
      <w:r w:rsidR="000B1204" w:rsidRPr="001232B2">
        <w:rPr>
          <w:rStyle w:val="Voetnootmarkering"/>
          <w:highlight w:val="yellow"/>
        </w:rPr>
        <w:footnoteReference w:id="11"/>
      </w:r>
    </w:p>
    <w:p w14:paraId="6B8B73E7" w14:textId="77777777" w:rsidR="00C72F2F" w:rsidRPr="00412EB5" w:rsidRDefault="00C72F2F" w:rsidP="00C72F2F">
      <w:pPr>
        <w:rPr>
          <w:lang w:val="nl-BE"/>
        </w:rPr>
      </w:pPr>
    </w:p>
    <w:p w14:paraId="5FEA64E5" w14:textId="77777777" w:rsidR="00C72F2F" w:rsidRPr="00412EB5" w:rsidRDefault="00C72F2F" w:rsidP="00C72F2F">
      <w:pPr>
        <w:rPr>
          <w:lang w:val="nl-BE"/>
        </w:rPr>
      </w:pPr>
    </w:p>
    <w:p w14:paraId="184DFF0C" w14:textId="08B39AB7" w:rsidR="00634F12" w:rsidRDefault="00C72F2F" w:rsidP="00C72F2F">
      <w:pPr>
        <w:jc w:val="both"/>
        <w:rPr>
          <w:rFonts w:cs="Calibri"/>
          <w:szCs w:val="22"/>
          <w:lang w:val="nl-BE"/>
        </w:rPr>
      </w:pPr>
      <w:r w:rsidRPr="00412EB5">
        <w:rPr>
          <w:rFonts w:cs="Calibri"/>
          <w:szCs w:val="22"/>
          <w:lang w:val="nl-BE"/>
        </w:rPr>
        <w:t>Overeenkomstig artikel 9, §6 van het besluit van de Vlaamse Regering van 7 september 2012 betreffende controle en single audit</w:t>
      </w:r>
      <w:r w:rsidR="000B1204" w:rsidRPr="000B1204">
        <w:rPr>
          <w:rFonts w:cs="Calibri"/>
          <w:szCs w:val="22"/>
          <w:vertAlign w:val="superscript"/>
          <w:lang w:val="nl-BE"/>
        </w:rPr>
        <w:t>9</w:t>
      </w:r>
      <w:r w:rsidRPr="00412EB5">
        <w:rPr>
          <w:rFonts w:cs="Calibri"/>
          <w:szCs w:val="22"/>
          <w:lang w:val="nl-BE"/>
        </w:rPr>
        <w:t xml:space="preserve">, </w:t>
      </w:r>
      <w:r w:rsidR="00634F12">
        <w:rPr>
          <w:rFonts w:cs="Calibri"/>
          <w:szCs w:val="22"/>
          <w:lang w:val="nl-BE"/>
        </w:rPr>
        <w:t xml:space="preserve">brengen wij u verslag uit in het kader van onze opdracht tot controle van </w:t>
      </w:r>
      <w:r w:rsidR="000B1204">
        <w:rPr>
          <w:rFonts w:cs="Calibri"/>
          <w:szCs w:val="22"/>
          <w:lang w:val="nl-BE"/>
        </w:rPr>
        <w:t xml:space="preserve">toelichting VO 14 in Deel II Budgettaire rapportering </w:t>
      </w:r>
      <w:r w:rsidR="000B1204">
        <w:rPr>
          <w:szCs w:val="22"/>
          <w:lang w:val="nl-BE"/>
        </w:rPr>
        <w:t xml:space="preserve">van het rapporteringssjabloon Vlaamse Overheid, </w:t>
      </w:r>
      <w:r w:rsidR="000B1204" w:rsidRPr="001232B2">
        <w:rPr>
          <w:szCs w:val="22"/>
          <w:lang w:val="nl-BE"/>
        </w:rPr>
        <w:t>o</w:t>
      </w:r>
      <w:r w:rsidR="000B1204">
        <w:rPr>
          <w:szCs w:val="22"/>
          <w:lang w:val="nl-BE"/>
        </w:rPr>
        <w:t>pgesteld</w:t>
      </w:r>
      <w:r w:rsidR="000B1204" w:rsidRPr="001232B2">
        <w:rPr>
          <w:szCs w:val="22"/>
          <w:lang w:val="nl-BE"/>
        </w:rPr>
        <w:t xml:space="preserve"> ten behoeve van de Vlaamse Regering en het </w:t>
      </w:r>
      <w:r w:rsidR="000B1204" w:rsidRPr="00AF4E46">
        <w:rPr>
          <w:szCs w:val="22"/>
          <w:lang w:val="nl-BE"/>
        </w:rPr>
        <w:t>Rekenhof en van de diensten van het Vlaams ministerie, bevoegd voor het f</w:t>
      </w:r>
      <w:r w:rsidR="000B1204">
        <w:rPr>
          <w:szCs w:val="22"/>
          <w:lang w:val="nl-BE"/>
        </w:rPr>
        <w:t>inanciële en budgettaire beleid</w:t>
      </w:r>
      <w:r w:rsidR="000B1204" w:rsidRPr="00AF4E46">
        <w:rPr>
          <w:szCs w:val="22"/>
          <w:lang w:val="nl-BE"/>
        </w:rPr>
        <w:t xml:space="preserve"> die belast zijn met de opmaak en consolidatie van de algemene rekeningen</w:t>
      </w:r>
      <w:r w:rsidR="000B1204">
        <w:rPr>
          <w:szCs w:val="22"/>
          <w:lang w:val="nl-BE"/>
        </w:rPr>
        <w:t xml:space="preserve"> (De “ESR-rapportering”) </w:t>
      </w:r>
      <w:r w:rsidR="00634F12" w:rsidRPr="00412EB5">
        <w:rPr>
          <w:rFonts w:cs="Calibri"/>
          <w:szCs w:val="22"/>
          <w:lang w:val="nl-BE"/>
        </w:rPr>
        <w:t xml:space="preserve">van </w:t>
      </w:r>
      <w:r w:rsidR="00634F12">
        <w:rPr>
          <w:rFonts w:cs="Calibri"/>
          <w:szCs w:val="22"/>
          <w:lang w:val="nl-BE"/>
        </w:rPr>
        <w:t>[</w:t>
      </w:r>
      <w:r w:rsidR="00634F12" w:rsidRPr="00143CD4">
        <w:rPr>
          <w:rFonts w:cs="Calibri"/>
          <w:szCs w:val="22"/>
          <w:highlight w:val="lightGray"/>
          <w:lang w:val="nl-BE"/>
        </w:rPr>
        <w:t>de Vlaamse rechtspersoon__]</w:t>
      </w:r>
      <w:r w:rsidR="00634F12">
        <w:rPr>
          <w:rFonts w:cs="Calibri"/>
          <w:szCs w:val="22"/>
          <w:lang w:val="nl-BE"/>
        </w:rPr>
        <w:t xml:space="preserve"> (“de Vlaamse rechtspersoon). </w:t>
      </w:r>
    </w:p>
    <w:p w14:paraId="0C806DDC" w14:textId="77777777" w:rsidR="00C72F2F" w:rsidRPr="00412EB5" w:rsidRDefault="00C72F2F" w:rsidP="00C72F2F">
      <w:pPr>
        <w:rPr>
          <w:lang w:val="nl-BE"/>
        </w:rPr>
      </w:pPr>
    </w:p>
    <w:p w14:paraId="2C17AAE6" w14:textId="77777777" w:rsidR="00BB21F1" w:rsidRPr="009057C8" w:rsidRDefault="00FF42B0" w:rsidP="009057C8">
      <w:pPr>
        <w:spacing w:after="200" w:line="276" w:lineRule="auto"/>
        <w:rPr>
          <w:rFonts w:ascii="Times New Roman" w:eastAsia="Calibri" w:hAnsi="Times New Roman"/>
          <w:b/>
          <w:color w:val="1F497D" w:themeColor="text2"/>
          <w:sz w:val="28"/>
          <w:szCs w:val="28"/>
          <w:lang w:val="nl-BE"/>
        </w:rPr>
      </w:pPr>
      <w:r w:rsidRPr="009057C8">
        <w:rPr>
          <w:rFonts w:ascii="Times New Roman" w:eastAsia="Calibri" w:hAnsi="Times New Roman"/>
          <w:b/>
          <w:color w:val="1F497D" w:themeColor="text2"/>
          <w:sz w:val="28"/>
          <w:szCs w:val="28"/>
          <w:lang w:val="nl-BE"/>
        </w:rPr>
        <w:t>Verslag over d</w:t>
      </w:r>
      <w:r w:rsidR="00BB21F1" w:rsidRPr="009057C8">
        <w:rPr>
          <w:rFonts w:ascii="Times New Roman" w:eastAsia="Calibri" w:hAnsi="Times New Roman"/>
          <w:b/>
          <w:color w:val="1F497D" w:themeColor="text2"/>
          <w:sz w:val="28"/>
          <w:szCs w:val="28"/>
          <w:lang w:val="nl-BE"/>
        </w:rPr>
        <w:t>e jaarlijkse ESR-rapportering</w:t>
      </w:r>
    </w:p>
    <w:p w14:paraId="6AA5E6AF" w14:textId="77777777" w:rsidR="00FF42B0" w:rsidRPr="009057C8" w:rsidRDefault="00BB21F1" w:rsidP="009057C8">
      <w:pPr>
        <w:spacing w:after="200" w:line="276" w:lineRule="auto"/>
        <w:rPr>
          <w:rFonts w:ascii="Times New Roman" w:eastAsia="Calibri" w:hAnsi="Times New Roman"/>
          <w:b/>
          <w:i/>
          <w:color w:val="1F497D" w:themeColor="text2"/>
          <w:sz w:val="24"/>
          <w:lang w:val="nl-BE"/>
        </w:rPr>
      </w:pPr>
      <w:r w:rsidRPr="009057C8">
        <w:rPr>
          <w:rFonts w:ascii="Times New Roman" w:eastAsia="Calibri" w:hAnsi="Times New Roman"/>
          <w:b/>
          <w:i/>
          <w:color w:val="1F497D" w:themeColor="text2"/>
          <w:sz w:val="24"/>
          <w:lang w:val="nl-BE"/>
        </w:rPr>
        <w:t>O</w:t>
      </w:r>
      <w:r w:rsidR="00FF42B0" w:rsidRPr="009057C8">
        <w:rPr>
          <w:rFonts w:ascii="Times New Roman" w:eastAsia="Calibri" w:hAnsi="Times New Roman"/>
          <w:b/>
          <w:i/>
          <w:color w:val="1F497D" w:themeColor="text2"/>
          <w:sz w:val="24"/>
          <w:lang w:val="nl-BE"/>
        </w:rPr>
        <w:t>ordeel zonder voorbehoud</w:t>
      </w:r>
    </w:p>
    <w:p w14:paraId="4A82E402" w14:textId="772DF94C" w:rsidR="009057C8" w:rsidRDefault="00634F12" w:rsidP="00BB21F1">
      <w:pPr>
        <w:jc w:val="both"/>
        <w:rPr>
          <w:rFonts w:cs="Calibri"/>
          <w:szCs w:val="22"/>
          <w:lang w:val="nl-BE"/>
        </w:rPr>
      </w:pPr>
      <w:r>
        <w:rPr>
          <w:rFonts w:cs="Calibri"/>
          <w:szCs w:val="22"/>
          <w:lang w:val="nl-BE"/>
        </w:rPr>
        <w:t xml:space="preserve">Wij hebben de controle uitgevoerd van de jaarlijkse ESR-rapportering van de Vlaamse rechtspersoon betreffende </w:t>
      </w:r>
      <w:r w:rsidRPr="00412EB5">
        <w:rPr>
          <w:rFonts w:cs="Calibri"/>
          <w:szCs w:val="22"/>
          <w:lang w:val="nl-BE"/>
        </w:rPr>
        <w:t xml:space="preserve">het boekjaar afgesloten op 31 december </w:t>
      </w:r>
      <w:r w:rsidRPr="00143CD4">
        <w:rPr>
          <w:rFonts w:cs="Calibri"/>
          <w:szCs w:val="22"/>
          <w:highlight w:val="lightGray"/>
          <w:lang w:val="nl-BE"/>
        </w:rPr>
        <w:t>20_</w:t>
      </w:r>
      <w:r>
        <w:rPr>
          <w:rFonts w:cs="Calibri"/>
          <w:szCs w:val="22"/>
          <w:lang w:val="nl-BE"/>
        </w:rPr>
        <w:t>.</w:t>
      </w:r>
    </w:p>
    <w:p w14:paraId="39C1CDB9" w14:textId="77777777" w:rsidR="00634F12" w:rsidRDefault="00634F12" w:rsidP="00BB21F1">
      <w:pPr>
        <w:jc w:val="both"/>
        <w:rPr>
          <w:rFonts w:cs="Calibri"/>
          <w:szCs w:val="22"/>
          <w:lang w:val="nl-BE"/>
        </w:rPr>
      </w:pPr>
    </w:p>
    <w:p w14:paraId="1BCA90A6" w14:textId="724B7BCB" w:rsidR="00BB21F1" w:rsidRPr="00412EB5" w:rsidRDefault="00BB21F1" w:rsidP="00BB21F1">
      <w:pPr>
        <w:jc w:val="both"/>
        <w:rPr>
          <w:rFonts w:cs="Calibri"/>
          <w:szCs w:val="22"/>
          <w:lang w:val="nl-BE"/>
        </w:rPr>
      </w:pPr>
      <w:r w:rsidRPr="00412EB5">
        <w:rPr>
          <w:rFonts w:cs="Calibri"/>
          <w:szCs w:val="22"/>
          <w:lang w:val="nl-BE"/>
        </w:rPr>
        <w:t>Naar ons oordeel is de ESR-rapportering van de Vlaamse rechtspersoon per 31 december </w:t>
      </w:r>
      <w:r w:rsidRPr="00143CD4">
        <w:rPr>
          <w:rFonts w:cs="Calibri"/>
          <w:szCs w:val="22"/>
          <w:highlight w:val="lightGray"/>
          <w:lang w:val="nl-BE"/>
        </w:rPr>
        <w:t>20_</w:t>
      </w:r>
      <w:r w:rsidRPr="00412EB5">
        <w:rPr>
          <w:rFonts w:cs="Calibri"/>
          <w:szCs w:val="22"/>
          <w:lang w:val="nl-BE"/>
        </w:rPr>
        <w:t xml:space="preserve"> in alle van materieel belang zijnde opzichten opgesteld in overeenstemming met het Europees Systeem van Rekeningen </w:t>
      </w:r>
      <w:r>
        <w:rPr>
          <w:rFonts w:cs="Calibri"/>
          <w:szCs w:val="22"/>
          <w:lang w:val="nl-BE"/>
        </w:rPr>
        <w:t>2010</w:t>
      </w:r>
      <w:r w:rsidRPr="00412EB5">
        <w:rPr>
          <w:rFonts w:cs="Calibri"/>
          <w:szCs w:val="22"/>
          <w:lang w:val="nl-BE"/>
        </w:rPr>
        <w:t xml:space="preserve"> (ESR </w:t>
      </w:r>
      <w:r>
        <w:rPr>
          <w:rFonts w:cs="Calibri"/>
          <w:szCs w:val="22"/>
          <w:lang w:val="nl-BE"/>
        </w:rPr>
        <w:t>2010</w:t>
      </w:r>
      <w:r w:rsidRPr="00412EB5">
        <w:rPr>
          <w:rFonts w:cs="Calibri"/>
          <w:szCs w:val="22"/>
          <w:lang w:val="nl-BE"/>
        </w:rPr>
        <w:t xml:space="preserve">), zoals uitgewerkt in de Handleiding over de Boekhoudregels, in de versie die van toepassing is op het gecontroleerde boekjaar, zoals opgesteld door het Departement Financiën en Begroting, afdeling Jaarrekening en Certifiëring, in uitvoering van de principes beschreven in de Europese verordening betreffende het Europees systeem van nationale en regionale rekeningen </w:t>
      </w:r>
      <w:r>
        <w:rPr>
          <w:rFonts w:cs="Calibri"/>
          <w:szCs w:val="22"/>
          <w:lang w:val="nl-BE"/>
        </w:rPr>
        <w:t>2010</w:t>
      </w:r>
      <w:r w:rsidRPr="00412EB5">
        <w:rPr>
          <w:rFonts w:cs="Calibri"/>
          <w:szCs w:val="22"/>
          <w:lang w:val="nl-BE"/>
        </w:rPr>
        <w:t xml:space="preserve"> (ESR </w:t>
      </w:r>
      <w:r>
        <w:rPr>
          <w:rFonts w:cs="Calibri"/>
          <w:szCs w:val="22"/>
          <w:lang w:val="nl-BE"/>
        </w:rPr>
        <w:t>2010</w:t>
      </w:r>
      <w:r w:rsidRPr="00412EB5">
        <w:rPr>
          <w:rFonts w:cs="Calibri"/>
          <w:szCs w:val="22"/>
          <w:lang w:val="nl-BE"/>
        </w:rPr>
        <w:t xml:space="preserve">) en in het Handboek van het Instituut voor de Nationale Rekeningen. Deze ESR-rapportering sluit op </w:t>
      </w:r>
      <w:r w:rsidR="000B1204">
        <w:rPr>
          <w:rFonts w:cs="Calibri"/>
          <w:szCs w:val="22"/>
          <w:lang w:val="nl-BE"/>
        </w:rPr>
        <w:t>consistente</w:t>
      </w:r>
      <w:r w:rsidRPr="00412EB5">
        <w:rPr>
          <w:rFonts w:cs="Calibri"/>
          <w:szCs w:val="22"/>
          <w:lang w:val="nl-BE"/>
        </w:rPr>
        <w:t xml:space="preserve"> wijze aan bij de andere elementen van de jaarrekening conform het rekendecreet en de uitvoeringsbesluiten.</w:t>
      </w:r>
    </w:p>
    <w:p w14:paraId="451BF29E" w14:textId="77777777" w:rsidR="00BB21F1" w:rsidRPr="00412EB5" w:rsidRDefault="00BB21F1" w:rsidP="00BB21F1">
      <w:pPr>
        <w:jc w:val="both"/>
        <w:rPr>
          <w:rFonts w:cs="Calibri"/>
          <w:szCs w:val="22"/>
          <w:lang w:val="nl-BE"/>
        </w:rPr>
      </w:pPr>
    </w:p>
    <w:p w14:paraId="5C3767B8" w14:textId="77777777" w:rsidR="00FF42B0" w:rsidRPr="00BB21F1" w:rsidRDefault="00BB21F1" w:rsidP="009057C8">
      <w:pPr>
        <w:spacing w:after="200" w:line="276" w:lineRule="auto"/>
        <w:rPr>
          <w:b/>
          <w:i/>
          <w:lang w:val="nl-BE"/>
        </w:rPr>
      </w:pPr>
      <w:r w:rsidRPr="009057C8">
        <w:rPr>
          <w:rFonts w:ascii="Times New Roman" w:eastAsia="Calibri" w:hAnsi="Times New Roman"/>
          <w:b/>
          <w:i/>
          <w:color w:val="1F497D" w:themeColor="text2"/>
          <w:sz w:val="24"/>
          <w:lang w:val="nl-BE"/>
        </w:rPr>
        <w:t>Basis voor het oordeel zonder voorbehoud</w:t>
      </w:r>
    </w:p>
    <w:p w14:paraId="248AF6A8" w14:textId="3DFA6C2C" w:rsidR="00BB21F1" w:rsidRPr="00412EB5" w:rsidRDefault="00BB21F1" w:rsidP="00BB21F1">
      <w:pPr>
        <w:jc w:val="both"/>
        <w:rPr>
          <w:rFonts w:cs="Calibri"/>
          <w:snapToGrid w:val="0"/>
          <w:color w:val="000000"/>
          <w:szCs w:val="22"/>
          <w:lang w:val="nl-BE" w:eastAsia="nl-NL"/>
        </w:rPr>
      </w:pPr>
      <w:r w:rsidRPr="00412EB5">
        <w:rPr>
          <w:rFonts w:cs="Calibri"/>
          <w:szCs w:val="22"/>
          <w:lang w:val="nl-BE"/>
        </w:rPr>
        <w:t xml:space="preserve">Wij hebben onze controle </w:t>
      </w:r>
      <w:r>
        <w:rPr>
          <w:rFonts w:cs="Calibri"/>
          <w:szCs w:val="22"/>
          <w:lang w:val="nl-BE"/>
        </w:rPr>
        <w:t xml:space="preserve">uitgevoerd </w:t>
      </w:r>
      <w:r w:rsidRPr="00412EB5">
        <w:rPr>
          <w:rFonts w:cs="Calibri"/>
          <w:snapToGrid w:val="0"/>
          <w:color w:val="000000"/>
          <w:szCs w:val="22"/>
          <w:lang w:val="nl-BE" w:eastAsia="nl-NL"/>
        </w:rPr>
        <w:t>volgens de internationale controlestandaarden (ISA’s)</w:t>
      </w:r>
      <w:r>
        <w:rPr>
          <w:rFonts w:cs="Calibri"/>
          <w:snapToGrid w:val="0"/>
          <w:color w:val="000000"/>
          <w:szCs w:val="22"/>
          <w:lang w:val="nl-BE" w:eastAsia="nl-NL"/>
        </w:rPr>
        <w:t xml:space="preserve"> </w:t>
      </w:r>
      <w:r w:rsidR="00634F12">
        <w:rPr>
          <w:rFonts w:asciiTheme="minorHAnsi" w:hAnsiTheme="minorHAnsi"/>
          <w:lang w:val="nl-BE"/>
        </w:rPr>
        <w:t>[</w:t>
      </w:r>
      <w:r w:rsidR="00634F12" w:rsidRPr="00143CD4">
        <w:rPr>
          <w:rFonts w:cs="Calibri"/>
          <w:szCs w:val="22"/>
          <w:highlight w:val="lightGray"/>
          <w:lang w:val="nl-BE"/>
        </w:rPr>
        <w:t>zoals van toepassing in België</w:t>
      </w:r>
      <w:r w:rsidR="00634F12">
        <w:rPr>
          <w:rFonts w:asciiTheme="minorHAnsi" w:hAnsiTheme="minorHAnsi"/>
          <w:lang w:val="nl-BE"/>
        </w:rPr>
        <w:t>]</w:t>
      </w:r>
      <w:r w:rsidRPr="00412EB5">
        <w:rPr>
          <w:rFonts w:cs="Calibri"/>
          <w:snapToGrid w:val="0"/>
          <w:color w:val="000000"/>
          <w:szCs w:val="22"/>
          <w:lang w:val="nl-BE" w:eastAsia="nl-NL"/>
        </w:rPr>
        <w:t xml:space="preserve">. </w:t>
      </w:r>
      <w:r w:rsidR="00634F12" w:rsidRPr="001434A3">
        <w:rPr>
          <w:rFonts w:asciiTheme="minorHAnsi" w:hAnsiTheme="minorHAnsi"/>
          <w:lang w:val="nl-BE"/>
        </w:rPr>
        <w:t xml:space="preserve">Onze verantwoordelijkheden op grond van deze standaarden zijn verder beschreven in de sectie “Verantwoordelijkheden van de </w:t>
      </w:r>
      <w:r w:rsidR="00634F12">
        <w:rPr>
          <w:rFonts w:asciiTheme="minorHAnsi" w:hAnsiTheme="minorHAnsi"/>
          <w:lang w:val="nl-BE"/>
        </w:rPr>
        <w:t>[</w:t>
      </w:r>
      <w:r w:rsidR="00634F12" w:rsidRPr="00143CD4">
        <w:rPr>
          <w:rFonts w:cs="Calibri"/>
          <w:szCs w:val="22"/>
          <w:highlight w:val="lightGray"/>
          <w:lang w:val="nl-BE"/>
        </w:rPr>
        <w:t>bedrijfsrevisor]</w:t>
      </w:r>
      <w:r w:rsidR="00634F12" w:rsidRPr="001434A3">
        <w:rPr>
          <w:rFonts w:asciiTheme="minorHAnsi" w:hAnsiTheme="minorHAnsi"/>
          <w:lang w:val="nl-BE"/>
        </w:rPr>
        <w:t xml:space="preserve"> voor de controle van de </w:t>
      </w:r>
      <w:r w:rsidR="00634F12">
        <w:rPr>
          <w:rFonts w:asciiTheme="minorHAnsi" w:hAnsiTheme="minorHAnsi"/>
          <w:lang w:val="nl-BE"/>
        </w:rPr>
        <w:t>ESR-rapportering</w:t>
      </w:r>
      <w:r w:rsidR="00634F12" w:rsidRPr="001434A3">
        <w:rPr>
          <w:rFonts w:asciiTheme="minorHAnsi" w:hAnsiTheme="minorHAnsi"/>
          <w:lang w:val="nl-BE"/>
        </w:rPr>
        <w:t xml:space="preserve">” van ons verslag. Wij hebben alle deontologische vereisten die relevant zijn voor de controle van de </w:t>
      </w:r>
      <w:r w:rsidR="00634F12">
        <w:rPr>
          <w:rFonts w:asciiTheme="minorHAnsi" w:hAnsiTheme="minorHAnsi"/>
          <w:lang w:val="nl-BE"/>
        </w:rPr>
        <w:t>ESR-rapportering nageleefd</w:t>
      </w:r>
      <w:r w:rsidR="00634F12" w:rsidRPr="001434A3">
        <w:rPr>
          <w:rFonts w:asciiTheme="minorHAnsi" w:hAnsiTheme="minorHAnsi"/>
          <w:lang w:val="nl-BE"/>
        </w:rPr>
        <w:t>, met inbegrip van deze met betrekking tot de onafhankelijkheid.</w:t>
      </w:r>
      <w:r w:rsidR="00634F12">
        <w:rPr>
          <w:rFonts w:asciiTheme="minorHAnsi" w:hAnsiTheme="minorHAnsi"/>
          <w:lang w:val="nl-BE"/>
        </w:rPr>
        <w:t xml:space="preserve"> </w:t>
      </w:r>
    </w:p>
    <w:p w14:paraId="0225500B" w14:textId="77777777" w:rsidR="00BB21F1" w:rsidRDefault="00BB21F1" w:rsidP="001E2D91">
      <w:pPr>
        <w:jc w:val="both"/>
        <w:rPr>
          <w:b/>
          <w:i/>
          <w:lang w:val="nl-BE"/>
        </w:rPr>
      </w:pPr>
    </w:p>
    <w:p w14:paraId="6C7C74A2" w14:textId="77777777" w:rsidR="00BB21F1" w:rsidRPr="00412EB5" w:rsidRDefault="00BB21F1" w:rsidP="00BB21F1">
      <w:pPr>
        <w:jc w:val="both"/>
        <w:rPr>
          <w:rFonts w:cs="Calibri"/>
          <w:szCs w:val="22"/>
          <w:lang w:val="nl-BE"/>
        </w:rPr>
      </w:pPr>
      <w:r w:rsidRPr="00412EB5">
        <w:rPr>
          <w:rFonts w:cs="Calibri"/>
          <w:szCs w:val="22"/>
          <w:lang w:val="nl-BE"/>
        </w:rPr>
        <w:lastRenderedPageBreak/>
        <w:t xml:space="preserve">Wij zijn van mening dat de door ons verkregen controle-informatie voldoende en geschikt is om daarop ons oordeel te baseren. </w:t>
      </w:r>
    </w:p>
    <w:p w14:paraId="1AA46A98" w14:textId="4B14A462" w:rsidR="009B16DD" w:rsidRDefault="009B16DD">
      <w:pPr>
        <w:rPr>
          <w:b/>
          <w:i/>
          <w:lang w:val="nl-BE"/>
        </w:rPr>
      </w:pPr>
    </w:p>
    <w:p w14:paraId="3099F98C" w14:textId="77777777" w:rsidR="00FF42B0" w:rsidRPr="00BB21F1" w:rsidRDefault="00FF42B0" w:rsidP="009057C8">
      <w:pPr>
        <w:spacing w:after="200" w:line="276" w:lineRule="auto"/>
        <w:rPr>
          <w:b/>
          <w:i/>
          <w:lang w:val="nl-BE"/>
        </w:rPr>
      </w:pPr>
      <w:r w:rsidRPr="009057C8">
        <w:rPr>
          <w:rFonts w:ascii="Times New Roman" w:eastAsia="Calibri" w:hAnsi="Times New Roman"/>
          <w:b/>
          <w:i/>
          <w:color w:val="1F497D" w:themeColor="text2"/>
          <w:sz w:val="24"/>
          <w:lang w:val="nl-BE"/>
        </w:rPr>
        <w:t>Verantwoordelijkheid van de [</w:t>
      </w:r>
      <w:r w:rsidRPr="00143CD4">
        <w:rPr>
          <w:rFonts w:ascii="Times New Roman" w:eastAsia="Calibri" w:hAnsi="Times New Roman"/>
          <w:b/>
          <w:i/>
          <w:color w:val="1F497D" w:themeColor="text2"/>
          <w:sz w:val="24"/>
          <w:highlight w:val="lightGray"/>
          <w:lang w:val="nl-BE"/>
        </w:rPr>
        <w:t>raad van bestuur</w:t>
      </w:r>
      <w:r w:rsidRPr="009057C8">
        <w:rPr>
          <w:rFonts w:ascii="Times New Roman" w:eastAsia="Calibri" w:hAnsi="Times New Roman"/>
          <w:b/>
          <w:i/>
          <w:color w:val="1F497D" w:themeColor="text2"/>
          <w:sz w:val="24"/>
          <w:lang w:val="nl-BE"/>
        </w:rPr>
        <w:t>] voor de ESR-rapportering</w:t>
      </w:r>
    </w:p>
    <w:p w14:paraId="21CC4A2F" w14:textId="162AB052" w:rsidR="005B7833" w:rsidRPr="00412EB5" w:rsidRDefault="00276A4A" w:rsidP="001E2D91">
      <w:pPr>
        <w:jc w:val="both"/>
        <w:rPr>
          <w:rFonts w:cs="Calibri"/>
          <w:szCs w:val="22"/>
          <w:lang w:val="nl-BE"/>
        </w:rPr>
      </w:pPr>
      <w:r w:rsidRPr="00412EB5">
        <w:rPr>
          <w:rFonts w:cs="Calibri"/>
          <w:szCs w:val="22"/>
          <w:lang w:val="nl-BE"/>
        </w:rPr>
        <w:t xml:space="preserve">De </w:t>
      </w:r>
      <w:r w:rsidRPr="00143CD4">
        <w:rPr>
          <w:rFonts w:cs="Calibri"/>
          <w:szCs w:val="22"/>
          <w:highlight w:val="lightGray"/>
          <w:lang w:val="nl-BE"/>
        </w:rPr>
        <w:t>[raad van bestuur]</w:t>
      </w:r>
      <w:r w:rsidRPr="00412EB5">
        <w:rPr>
          <w:rFonts w:cs="Calibri"/>
          <w:szCs w:val="22"/>
          <w:lang w:val="nl-BE"/>
        </w:rPr>
        <w:t xml:space="preserve"> is verantwoordelijk voor de opmaak van de budgettaire rapportering volgens het rapporteringssjabloon zoals vervat in de Handleiding over de Boekhoudregels, </w:t>
      </w:r>
      <w:r w:rsidR="005B7833" w:rsidRPr="00412EB5">
        <w:rPr>
          <w:rFonts w:cs="Calibri"/>
          <w:szCs w:val="22"/>
          <w:lang w:val="nl-BE"/>
        </w:rPr>
        <w:t xml:space="preserve">in de versie die van toepassing is op het gecontroleerde boekjaar, zoals opgesteld door het Departement Financiën en Begroting, afdeling Jaarrekening en Certifiëring, in uitvoering van de principes beschreven in de Europese verordening betreffende het Europees systeem van nationale en regionale rekeningen </w:t>
      </w:r>
      <w:r w:rsidR="005B7833">
        <w:rPr>
          <w:rFonts w:cs="Calibri"/>
          <w:szCs w:val="22"/>
          <w:lang w:val="nl-BE"/>
        </w:rPr>
        <w:t>2010</w:t>
      </w:r>
      <w:r w:rsidR="005B7833" w:rsidRPr="00412EB5">
        <w:rPr>
          <w:rFonts w:cs="Calibri"/>
          <w:szCs w:val="22"/>
          <w:lang w:val="nl-BE"/>
        </w:rPr>
        <w:t xml:space="preserve"> (ESR </w:t>
      </w:r>
      <w:r w:rsidR="005B7833">
        <w:rPr>
          <w:rFonts w:cs="Calibri"/>
          <w:szCs w:val="22"/>
          <w:lang w:val="nl-BE"/>
        </w:rPr>
        <w:t>2010</w:t>
      </w:r>
      <w:r w:rsidR="005B7833" w:rsidRPr="00412EB5">
        <w:rPr>
          <w:rFonts w:cs="Calibri"/>
          <w:szCs w:val="22"/>
          <w:lang w:val="nl-BE"/>
        </w:rPr>
        <w:t>) en in het Handboek van het Instituut voor de Nationale Rekeningen</w:t>
      </w:r>
      <w:r w:rsidR="002828D2" w:rsidRPr="00412EB5">
        <w:rPr>
          <w:rFonts w:cs="Calibri"/>
          <w:szCs w:val="22"/>
          <w:lang w:val="nl-BE"/>
        </w:rPr>
        <w:t>, (“ESR-rapportering”)</w:t>
      </w:r>
      <w:r w:rsidRPr="00412EB5">
        <w:rPr>
          <w:rFonts w:cs="Calibri"/>
          <w:szCs w:val="22"/>
          <w:lang w:val="nl-BE"/>
        </w:rPr>
        <w:t xml:space="preserve"> hierin begrepen de aansluiting van deze rapportering met de </w:t>
      </w:r>
      <w:r w:rsidR="00100B93" w:rsidRPr="00412EB5">
        <w:rPr>
          <w:rFonts w:cs="Calibri"/>
          <w:szCs w:val="22"/>
          <w:lang w:val="nl-BE"/>
        </w:rPr>
        <w:t>jaarrekening conform het rekendecreet en de uitvoeringsbesluiten</w:t>
      </w:r>
      <w:r w:rsidRPr="00412EB5">
        <w:rPr>
          <w:rFonts w:cs="Calibri"/>
          <w:szCs w:val="22"/>
          <w:lang w:val="nl-BE"/>
        </w:rPr>
        <w:t xml:space="preserve">. </w:t>
      </w:r>
      <w:r w:rsidRPr="00143CD4">
        <w:rPr>
          <w:rFonts w:cs="Calibri"/>
          <w:szCs w:val="22"/>
          <w:highlight w:val="lightGray"/>
          <w:lang w:val="nl-BE"/>
        </w:rPr>
        <w:t xml:space="preserve">De </w:t>
      </w:r>
      <w:r w:rsidR="00100B93" w:rsidRPr="00143CD4">
        <w:rPr>
          <w:rFonts w:cs="Calibri"/>
          <w:szCs w:val="22"/>
          <w:highlight w:val="lightGray"/>
          <w:lang w:val="nl-BE"/>
        </w:rPr>
        <w:t>[</w:t>
      </w:r>
      <w:r w:rsidRPr="00143CD4">
        <w:rPr>
          <w:rFonts w:cs="Calibri"/>
          <w:szCs w:val="22"/>
          <w:highlight w:val="lightGray"/>
          <w:lang w:val="nl-BE"/>
        </w:rPr>
        <w:t>raad van bestuur</w:t>
      </w:r>
      <w:r w:rsidR="00100B93" w:rsidRPr="00143CD4">
        <w:rPr>
          <w:rFonts w:cs="Calibri"/>
          <w:szCs w:val="22"/>
          <w:highlight w:val="lightGray"/>
          <w:lang w:val="nl-BE"/>
        </w:rPr>
        <w:t>]</w:t>
      </w:r>
      <w:r w:rsidRPr="00412EB5">
        <w:rPr>
          <w:rFonts w:cs="Calibri"/>
          <w:szCs w:val="22"/>
          <w:lang w:val="nl-BE"/>
        </w:rPr>
        <w:t xml:space="preserve"> is tevens verantwoordelijk voor de boekhoudkundige organisatie zoals voorgeschreven door het decreet van 8 juli 2011 houdende regeling van de begroting, de boekhouding, de toekenning en de controle op de aanwending ervan, en d</w:t>
      </w:r>
      <w:r w:rsidR="007173F1" w:rsidRPr="00412EB5">
        <w:rPr>
          <w:rFonts w:cs="Calibri"/>
          <w:szCs w:val="22"/>
          <w:lang w:val="nl-BE"/>
        </w:rPr>
        <w:t>e controle door het Rekenhof (“r</w:t>
      </w:r>
      <w:r w:rsidRPr="00412EB5">
        <w:rPr>
          <w:rFonts w:cs="Calibri"/>
          <w:szCs w:val="22"/>
          <w:lang w:val="nl-BE"/>
        </w:rPr>
        <w:t xml:space="preserve">ekendecreet”) en diens uitvoeringsbesluiten. De </w:t>
      </w:r>
      <w:r w:rsidR="007173F1" w:rsidRPr="00143CD4">
        <w:rPr>
          <w:rFonts w:cs="Calibri"/>
          <w:szCs w:val="22"/>
          <w:highlight w:val="lightGray"/>
          <w:lang w:val="nl-BE"/>
        </w:rPr>
        <w:t>[</w:t>
      </w:r>
      <w:r w:rsidRPr="00143CD4">
        <w:rPr>
          <w:rFonts w:cs="Calibri"/>
          <w:szCs w:val="22"/>
          <w:highlight w:val="lightGray"/>
          <w:lang w:val="nl-BE"/>
        </w:rPr>
        <w:t>raad van bestuur</w:t>
      </w:r>
      <w:r w:rsidR="007173F1" w:rsidRPr="00143CD4">
        <w:rPr>
          <w:rFonts w:cs="Calibri"/>
          <w:szCs w:val="22"/>
          <w:highlight w:val="lightGray"/>
          <w:lang w:val="nl-BE"/>
        </w:rPr>
        <w:t>]</w:t>
      </w:r>
      <w:r w:rsidRPr="00412EB5">
        <w:rPr>
          <w:rFonts w:cs="Calibri"/>
          <w:szCs w:val="22"/>
          <w:lang w:val="nl-BE"/>
        </w:rPr>
        <w:t xml:space="preserve"> is eveneens verantwoordelijk voor het implementeren van de interne beheersing die het </w:t>
      </w:r>
      <w:r w:rsidR="007173F1" w:rsidRPr="00412EB5">
        <w:rPr>
          <w:rFonts w:cs="Calibri"/>
          <w:szCs w:val="22"/>
          <w:lang w:val="nl-BE"/>
        </w:rPr>
        <w:t>b</w:t>
      </w:r>
      <w:r w:rsidRPr="00412EB5">
        <w:rPr>
          <w:rFonts w:cs="Calibri"/>
          <w:szCs w:val="22"/>
          <w:lang w:val="nl-BE"/>
        </w:rPr>
        <w:t>estuursorgaan noodzakelijk acht voor het opstellen van de budgettaire rapportering die geen afwijking van materieel belang bevat die het gevolg is van fraude of van fouten.</w:t>
      </w:r>
    </w:p>
    <w:p w14:paraId="4B93E485" w14:textId="77777777" w:rsidR="00162613" w:rsidRPr="00412EB5" w:rsidRDefault="00162613" w:rsidP="001E2D91">
      <w:pPr>
        <w:jc w:val="both"/>
        <w:rPr>
          <w:rFonts w:cs="Calibri"/>
          <w:szCs w:val="22"/>
          <w:lang w:val="nl-BE"/>
        </w:rPr>
      </w:pPr>
    </w:p>
    <w:p w14:paraId="03B2A3BA" w14:textId="70549F12" w:rsidR="00360431" w:rsidRPr="009057C8" w:rsidRDefault="00360431" w:rsidP="009057C8">
      <w:pPr>
        <w:spacing w:after="200" w:line="276" w:lineRule="auto"/>
        <w:rPr>
          <w:rFonts w:ascii="Times New Roman" w:eastAsia="Calibri" w:hAnsi="Times New Roman"/>
          <w:b/>
          <w:i/>
          <w:color w:val="1F497D" w:themeColor="text2"/>
          <w:sz w:val="24"/>
          <w:lang w:val="nl-BE"/>
        </w:rPr>
      </w:pPr>
      <w:r w:rsidRPr="009057C8">
        <w:rPr>
          <w:rFonts w:ascii="Times New Roman" w:eastAsia="Calibri" w:hAnsi="Times New Roman"/>
          <w:b/>
          <w:i/>
          <w:color w:val="1F497D" w:themeColor="text2"/>
          <w:sz w:val="24"/>
          <w:lang w:val="nl-BE"/>
        </w:rPr>
        <w:t>Verantwoordelijkheid van de [</w:t>
      </w:r>
      <w:r w:rsidRPr="00143CD4">
        <w:rPr>
          <w:rFonts w:ascii="Times New Roman" w:eastAsia="Calibri" w:hAnsi="Times New Roman"/>
          <w:b/>
          <w:i/>
          <w:color w:val="1F497D" w:themeColor="text2"/>
          <w:sz w:val="24"/>
          <w:highlight w:val="lightGray"/>
          <w:lang w:val="nl-BE"/>
        </w:rPr>
        <w:t>bedrijfsrevisor</w:t>
      </w:r>
      <w:r w:rsidRPr="009057C8">
        <w:rPr>
          <w:rFonts w:ascii="Times New Roman" w:eastAsia="Calibri" w:hAnsi="Times New Roman"/>
          <w:b/>
          <w:i/>
          <w:color w:val="1F497D" w:themeColor="text2"/>
          <w:sz w:val="24"/>
          <w:lang w:val="nl-BE"/>
        </w:rPr>
        <w:t>]</w:t>
      </w:r>
      <w:r w:rsidR="005B7833">
        <w:rPr>
          <w:rFonts w:ascii="Times New Roman" w:eastAsia="Calibri" w:hAnsi="Times New Roman"/>
          <w:b/>
          <w:i/>
          <w:color w:val="1F497D" w:themeColor="text2"/>
          <w:sz w:val="24"/>
          <w:lang w:val="nl-BE"/>
        </w:rPr>
        <w:t xml:space="preserve"> voor de controle van de ESR-rapportering</w:t>
      </w:r>
    </w:p>
    <w:p w14:paraId="12043F39" w14:textId="0828BA79" w:rsidR="005B7833" w:rsidRPr="00FC019C" w:rsidRDefault="005B7833" w:rsidP="005B7833">
      <w:pPr>
        <w:jc w:val="both"/>
        <w:rPr>
          <w:rFonts w:asciiTheme="minorHAnsi" w:hAnsiTheme="minorHAnsi"/>
          <w:lang w:val="nl-BE"/>
        </w:rPr>
      </w:pPr>
      <w:r w:rsidRPr="00FC019C">
        <w:rPr>
          <w:rFonts w:asciiTheme="minorHAnsi" w:hAnsiTheme="minorHAnsi"/>
          <w:lang w:val="nl-BE"/>
        </w:rPr>
        <w:t xml:space="preserve">Onze doelstellingen zijn het verkrijgen van een redelijke mate van zekerheid over de vraag of de </w:t>
      </w:r>
      <w:r>
        <w:rPr>
          <w:rFonts w:asciiTheme="minorHAnsi" w:hAnsiTheme="minorHAnsi"/>
          <w:lang w:val="nl-BE"/>
        </w:rPr>
        <w:t>ESR-rapportering</w:t>
      </w:r>
      <w:r w:rsidRPr="00FC019C">
        <w:rPr>
          <w:rFonts w:asciiTheme="minorHAnsi" w:hAnsiTheme="minorHAnsi"/>
          <w:lang w:val="nl-BE"/>
        </w:rPr>
        <w:t xml:space="preserve"> als geheel geen afwijking van materieel belang bevat die het gevolg is van fraude of van f</w:t>
      </w:r>
      <w:r>
        <w:rPr>
          <w:rFonts w:asciiTheme="minorHAnsi" w:hAnsiTheme="minorHAnsi"/>
          <w:lang w:val="nl-BE"/>
        </w:rPr>
        <w:t>outen en het uitbrengen van een verslag</w:t>
      </w:r>
      <w:r w:rsidRPr="000B58F7">
        <w:rPr>
          <w:rFonts w:asciiTheme="minorHAnsi" w:hAnsiTheme="minorHAnsi"/>
          <w:lang w:val="nl-BE"/>
        </w:rPr>
        <w:t xml:space="preserve"> </w:t>
      </w:r>
      <w:r w:rsidRPr="00FC019C">
        <w:rPr>
          <w:rFonts w:asciiTheme="minorHAnsi" w:hAnsiTheme="minorHAnsi"/>
          <w:lang w:val="nl-BE"/>
        </w:rPr>
        <w:t xml:space="preserve">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w:t>
      </w:r>
      <w:r>
        <w:rPr>
          <w:rFonts w:asciiTheme="minorHAnsi" w:hAnsiTheme="minorHAnsi"/>
          <w:lang w:val="nl-BE"/>
        </w:rPr>
        <w:t>ESR-rapportering</w:t>
      </w:r>
      <w:r w:rsidRPr="00FC019C">
        <w:rPr>
          <w:rFonts w:asciiTheme="minorHAnsi" w:hAnsiTheme="minorHAnsi"/>
          <w:lang w:val="nl-BE"/>
        </w:rPr>
        <w:t>, beïnvloeden.</w:t>
      </w:r>
    </w:p>
    <w:p w14:paraId="47FA2A40" w14:textId="77777777" w:rsidR="005B7833" w:rsidRPr="00FC019C" w:rsidRDefault="005B7833" w:rsidP="005B7833">
      <w:pPr>
        <w:jc w:val="both"/>
        <w:rPr>
          <w:rFonts w:asciiTheme="minorHAnsi" w:hAnsiTheme="minorHAnsi"/>
          <w:b/>
          <w:i/>
          <w:lang w:val="nl-BE"/>
        </w:rPr>
      </w:pPr>
    </w:p>
    <w:p w14:paraId="6333AA19" w14:textId="77777777" w:rsidR="005B7833" w:rsidRPr="00FC019C" w:rsidRDefault="005B7833" w:rsidP="005B7833">
      <w:pPr>
        <w:spacing w:after="120"/>
        <w:jc w:val="both"/>
        <w:rPr>
          <w:rFonts w:asciiTheme="minorHAnsi" w:hAnsiTheme="minorHAnsi"/>
          <w:lang w:val="nl-BE"/>
        </w:rPr>
      </w:pPr>
      <w:r w:rsidRPr="00FC019C">
        <w:rPr>
          <w:rFonts w:asciiTheme="minorHAnsi" w:hAnsiTheme="minorHAnsi"/>
          <w:lang w:val="nl-BE"/>
        </w:rPr>
        <w:t>Als deel van een controle uitgevoerd overeenkomstig de ISA’s, passen wij professionele oordeelsvorming toe en handhaven wij een professioneel-kritische instelling gedurende de controle. We voeren tevens de volgende werkzaamheden uit:</w:t>
      </w:r>
    </w:p>
    <w:p w14:paraId="50115A8C" w14:textId="358D4490" w:rsidR="005B7833" w:rsidRPr="00FC019C" w:rsidRDefault="005B7833" w:rsidP="005B7833">
      <w:pPr>
        <w:numPr>
          <w:ilvl w:val="0"/>
          <w:numId w:val="5"/>
        </w:numPr>
        <w:spacing w:after="120"/>
        <w:ind w:left="426" w:hanging="426"/>
        <w:jc w:val="both"/>
        <w:rPr>
          <w:rFonts w:asciiTheme="minorHAnsi" w:hAnsiTheme="minorHAnsi"/>
          <w:lang w:val="nl-BE"/>
        </w:rPr>
      </w:pPr>
      <w:r w:rsidRPr="00FC019C">
        <w:rPr>
          <w:rFonts w:asciiTheme="minorHAnsi" w:hAnsiTheme="minorHAnsi"/>
          <w:lang w:val="nl-BE"/>
        </w:rPr>
        <w:t xml:space="preserve">het identificeren en inschatten van de risico’s dat de </w:t>
      </w:r>
      <w:r>
        <w:rPr>
          <w:rFonts w:asciiTheme="minorHAnsi" w:hAnsiTheme="minorHAnsi"/>
          <w:lang w:val="nl-BE"/>
        </w:rPr>
        <w:t xml:space="preserve">ESR-rapportering </w:t>
      </w:r>
      <w:r w:rsidRPr="00FC019C">
        <w:rPr>
          <w:rFonts w:asciiTheme="minorHAnsi" w:hAnsiTheme="minorHAnsi"/>
          <w:lang w:val="nl-BE"/>
        </w:rPr>
        <w:t>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 ;</w:t>
      </w:r>
    </w:p>
    <w:p w14:paraId="44CB820E" w14:textId="2C249D0B" w:rsidR="005B7833" w:rsidRPr="00FC019C" w:rsidRDefault="005B7833" w:rsidP="005B7833">
      <w:pPr>
        <w:numPr>
          <w:ilvl w:val="0"/>
          <w:numId w:val="5"/>
        </w:numPr>
        <w:spacing w:after="120"/>
        <w:ind w:left="426" w:hanging="426"/>
        <w:jc w:val="both"/>
        <w:rPr>
          <w:rFonts w:asciiTheme="minorHAnsi" w:hAnsiTheme="minorHAnsi"/>
          <w:lang w:val="nl-BE"/>
        </w:rPr>
      </w:pPr>
      <w:r w:rsidRPr="00FC019C">
        <w:rPr>
          <w:rFonts w:asciiTheme="minorHAnsi" w:hAnsiTheme="minorHAnsi"/>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 ;</w:t>
      </w:r>
      <w:r w:rsidRPr="002C2866">
        <w:rPr>
          <w:rFonts w:eastAsia="Calibri"/>
          <w:sz w:val="24"/>
          <w:vertAlign w:val="superscript"/>
          <w:lang w:val="nl-BE"/>
        </w:rPr>
        <w:t xml:space="preserve"> </w:t>
      </w:r>
    </w:p>
    <w:p w14:paraId="4E491AB8" w14:textId="77777777" w:rsidR="005B7833" w:rsidRPr="00FC019C" w:rsidRDefault="005B7833" w:rsidP="005B7833">
      <w:pPr>
        <w:numPr>
          <w:ilvl w:val="0"/>
          <w:numId w:val="5"/>
        </w:numPr>
        <w:spacing w:after="120"/>
        <w:ind w:left="426" w:hanging="426"/>
        <w:jc w:val="both"/>
        <w:rPr>
          <w:rFonts w:asciiTheme="minorHAnsi" w:hAnsiTheme="minorHAnsi"/>
          <w:lang w:val="nl-BE"/>
        </w:rPr>
      </w:pPr>
      <w:r w:rsidRPr="00FC019C">
        <w:rPr>
          <w:rFonts w:asciiTheme="minorHAnsi" w:hAnsiTheme="minorHAnsi"/>
          <w:lang w:val="nl-BE"/>
        </w:rPr>
        <w:lastRenderedPageBreak/>
        <w:t>het evalueren van de geschiktheid van de gehanteerde grondslagen voor financiële verslaggeving en het evalueren van de redelijkheid van de door het bestuursorgaan gemaakte schattingen en van de daarop betrekking hebbende toelichtingen ;</w:t>
      </w:r>
    </w:p>
    <w:p w14:paraId="6592D132" w14:textId="3F11B204" w:rsidR="005B7833" w:rsidRPr="00FC019C" w:rsidRDefault="005B7833" w:rsidP="005B7833">
      <w:pPr>
        <w:numPr>
          <w:ilvl w:val="0"/>
          <w:numId w:val="5"/>
        </w:numPr>
        <w:ind w:left="426" w:hanging="426"/>
        <w:jc w:val="both"/>
        <w:rPr>
          <w:rFonts w:asciiTheme="minorHAnsi" w:hAnsiTheme="minorHAnsi"/>
          <w:lang w:val="nl-BE"/>
        </w:rPr>
      </w:pPr>
      <w:r w:rsidRPr="00FC019C">
        <w:rPr>
          <w:rFonts w:asciiTheme="minorHAnsi" w:hAnsiTheme="minorHAnsi"/>
          <w:lang w:val="nl-BE"/>
        </w:rPr>
        <w:t xml:space="preserve">het evalueren van de </w:t>
      </w:r>
      <w:r>
        <w:rPr>
          <w:rFonts w:asciiTheme="minorHAnsi" w:hAnsiTheme="minorHAnsi"/>
          <w:lang w:val="nl-BE"/>
        </w:rPr>
        <w:t>presentatie</w:t>
      </w:r>
      <w:r w:rsidRPr="00FC019C">
        <w:rPr>
          <w:rFonts w:asciiTheme="minorHAnsi" w:hAnsiTheme="minorHAnsi"/>
          <w:lang w:val="nl-BE"/>
        </w:rPr>
        <w:t xml:space="preserve"> van de </w:t>
      </w:r>
      <w:r>
        <w:rPr>
          <w:rFonts w:asciiTheme="minorHAnsi" w:hAnsiTheme="minorHAnsi"/>
          <w:lang w:val="nl-BE"/>
        </w:rPr>
        <w:t>budgettaire rapportering als geheel</w:t>
      </w:r>
      <w:r w:rsidRPr="00FC019C">
        <w:rPr>
          <w:rFonts w:asciiTheme="minorHAnsi" w:hAnsiTheme="minorHAnsi"/>
          <w:lang w:val="nl-BE"/>
        </w:rPr>
        <w:t xml:space="preserve">. </w:t>
      </w:r>
    </w:p>
    <w:p w14:paraId="4C704886" w14:textId="77777777" w:rsidR="005B7833" w:rsidRPr="00FC019C" w:rsidRDefault="005B7833" w:rsidP="005B7833">
      <w:pPr>
        <w:jc w:val="both"/>
        <w:rPr>
          <w:rFonts w:asciiTheme="minorHAnsi" w:hAnsiTheme="minorHAnsi"/>
          <w:lang w:val="nl-BE"/>
        </w:rPr>
      </w:pPr>
    </w:p>
    <w:p w14:paraId="0A9B22F6" w14:textId="77777777" w:rsidR="005B7833" w:rsidRPr="00FC019C" w:rsidRDefault="005B7833" w:rsidP="005B7833">
      <w:pPr>
        <w:jc w:val="both"/>
        <w:rPr>
          <w:rFonts w:asciiTheme="minorHAnsi" w:hAnsiTheme="minorHAnsi"/>
          <w:lang w:val="nl-BE"/>
        </w:rPr>
      </w:pPr>
      <w:r w:rsidRPr="00FC019C">
        <w:rPr>
          <w:rFonts w:asciiTheme="minorHAnsi" w:hAnsiTheme="minorHAnsi"/>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3AEC9DE3" w14:textId="77777777" w:rsidR="005B7833" w:rsidRDefault="005B7833" w:rsidP="001E2D91">
      <w:pPr>
        <w:jc w:val="both"/>
        <w:rPr>
          <w:rFonts w:cs="Calibri"/>
          <w:szCs w:val="22"/>
          <w:lang w:val="nl-BE"/>
        </w:rPr>
      </w:pPr>
    </w:p>
    <w:p w14:paraId="54BD2D02" w14:textId="77777777" w:rsidR="00360431" w:rsidRPr="00412EB5" w:rsidRDefault="00360431" w:rsidP="001E2D91">
      <w:pPr>
        <w:jc w:val="both"/>
        <w:rPr>
          <w:rFonts w:cs="Calibri"/>
          <w:szCs w:val="22"/>
          <w:lang w:val="nl-BE"/>
        </w:rPr>
      </w:pPr>
    </w:p>
    <w:p w14:paraId="2C791F5F" w14:textId="77777777" w:rsidR="009B0FC2" w:rsidRPr="009057C8" w:rsidRDefault="00005246" w:rsidP="009057C8">
      <w:pPr>
        <w:spacing w:after="200" w:line="276" w:lineRule="auto"/>
        <w:rPr>
          <w:rFonts w:ascii="Times New Roman" w:eastAsia="Calibri" w:hAnsi="Times New Roman"/>
          <w:b/>
          <w:i/>
          <w:color w:val="1F497D" w:themeColor="text2"/>
          <w:sz w:val="24"/>
          <w:lang w:val="nl-BE"/>
        </w:rPr>
      </w:pPr>
      <w:r w:rsidRPr="009057C8">
        <w:rPr>
          <w:rFonts w:ascii="Times New Roman" w:eastAsia="Calibri" w:hAnsi="Times New Roman"/>
          <w:b/>
          <w:i/>
          <w:color w:val="1F497D" w:themeColor="text2"/>
          <w:sz w:val="24"/>
          <w:lang w:val="nl-BE"/>
        </w:rPr>
        <w:t>Overige aangelegenheid</w:t>
      </w:r>
    </w:p>
    <w:p w14:paraId="6C3B1C87" w14:textId="3F71260D" w:rsidR="00005246" w:rsidRPr="00412EB5" w:rsidRDefault="00005246" w:rsidP="009F6858">
      <w:pPr>
        <w:jc w:val="both"/>
        <w:rPr>
          <w:rFonts w:cs="Calibri"/>
          <w:szCs w:val="22"/>
          <w:lang w:val="nl-BE"/>
        </w:rPr>
      </w:pPr>
      <w:r w:rsidRPr="00412EB5">
        <w:rPr>
          <w:rFonts w:cs="Calibri"/>
          <w:szCs w:val="22"/>
          <w:lang w:val="nl-BE"/>
        </w:rPr>
        <w:t xml:space="preserve">De Vlaamse rechtspersoon heeft tevens een jaarrekening conform het rekendecreet en de uitvoeringsbesluiten opgesteld voor het boekjaar afgesloten op 31 december </w:t>
      </w:r>
      <w:r w:rsidRPr="00143CD4">
        <w:rPr>
          <w:rFonts w:cs="Calibri"/>
          <w:szCs w:val="22"/>
          <w:highlight w:val="lightGray"/>
          <w:lang w:val="nl-BE"/>
        </w:rPr>
        <w:t>20_</w:t>
      </w:r>
      <w:r w:rsidRPr="00412EB5">
        <w:rPr>
          <w:rFonts w:cs="Calibri"/>
          <w:szCs w:val="22"/>
          <w:lang w:val="nl-BE"/>
        </w:rPr>
        <w:t xml:space="preserve"> , waarover wij in het eerste deel van deze bundel een afzonderlijk verslag hebben uitgebracht aan de </w:t>
      </w:r>
      <w:r w:rsidRPr="00143CD4">
        <w:rPr>
          <w:rFonts w:cs="Calibri"/>
          <w:szCs w:val="22"/>
          <w:highlight w:val="lightGray"/>
          <w:lang w:val="nl-BE"/>
        </w:rPr>
        <w:t>[raad van bestuur]</w:t>
      </w:r>
      <w:r w:rsidRPr="00412EB5">
        <w:rPr>
          <w:rFonts w:cs="Calibri"/>
          <w:szCs w:val="22"/>
          <w:lang w:val="nl-BE"/>
        </w:rPr>
        <w:t xml:space="preserve"> van de Vlaamse rechtspersoon </w:t>
      </w:r>
      <w:r w:rsidRPr="00143CD4">
        <w:rPr>
          <w:rFonts w:cs="Calibri"/>
          <w:szCs w:val="22"/>
          <w:highlight w:val="lightGray"/>
          <w:lang w:val="nl-BE"/>
        </w:rPr>
        <w:t xml:space="preserve">[_] </w:t>
      </w:r>
      <w:r w:rsidRPr="00412EB5">
        <w:rPr>
          <w:rFonts w:cs="Calibri"/>
          <w:szCs w:val="22"/>
          <w:lang w:val="nl-BE"/>
        </w:rPr>
        <w:t xml:space="preserve">d.d. </w:t>
      </w:r>
      <w:r w:rsidRPr="00143CD4">
        <w:rPr>
          <w:rFonts w:cs="Calibri"/>
          <w:szCs w:val="22"/>
          <w:highlight w:val="lightGray"/>
          <w:lang w:val="nl-BE"/>
        </w:rPr>
        <w:t>_ __ 20_</w:t>
      </w:r>
      <w:r w:rsidRPr="00412EB5">
        <w:rPr>
          <w:rFonts w:cs="Calibri"/>
          <w:szCs w:val="22"/>
          <w:lang w:val="nl-BE"/>
        </w:rPr>
        <w:t>.</w:t>
      </w:r>
    </w:p>
    <w:p w14:paraId="32C252DE" w14:textId="77777777" w:rsidR="00D5542B" w:rsidRPr="00412EB5" w:rsidRDefault="00D5542B" w:rsidP="009F6858">
      <w:pPr>
        <w:jc w:val="both"/>
        <w:rPr>
          <w:rFonts w:cs="Calibri"/>
          <w:szCs w:val="22"/>
          <w:lang w:val="nl-BE"/>
        </w:rPr>
      </w:pPr>
    </w:p>
    <w:p w14:paraId="4B3D1813" w14:textId="72CD8D72" w:rsidR="009057C8" w:rsidRPr="00143CD4" w:rsidRDefault="005B7833" w:rsidP="009057C8">
      <w:pPr>
        <w:jc w:val="both"/>
        <w:rPr>
          <w:rFonts w:cs="Calibri"/>
          <w:szCs w:val="22"/>
          <w:highlight w:val="lightGray"/>
          <w:lang w:val="nl-BE"/>
        </w:rPr>
      </w:pPr>
      <w:r w:rsidRPr="00143CD4">
        <w:rPr>
          <w:rFonts w:cs="Calibri"/>
          <w:szCs w:val="22"/>
          <w:highlight w:val="lightGray"/>
          <w:lang w:val="nl-BE"/>
        </w:rPr>
        <w:t>Plaats</w:t>
      </w:r>
      <w:r w:rsidR="009057C8" w:rsidRPr="00143CD4">
        <w:rPr>
          <w:rFonts w:cs="Calibri"/>
          <w:szCs w:val="22"/>
          <w:highlight w:val="lightGray"/>
          <w:lang w:val="nl-BE"/>
        </w:rPr>
        <w:t>, datum en handtekening</w:t>
      </w:r>
    </w:p>
    <w:p w14:paraId="01D17DB4" w14:textId="77777777" w:rsidR="009057C8" w:rsidRPr="00143CD4" w:rsidRDefault="009057C8" w:rsidP="009057C8">
      <w:pPr>
        <w:jc w:val="both"/>
        <w:rPr>
          <w:rFonts w:cs="Calibri"/>
          <w:szCs w:val="22"/>
          <w:highlight w:val="lightGray"/>
          <w:lang w:val="nl-BE"/>
        </w:rPr>
      </w:pPr>
      <w:r w:rsidRPr="00143CD4">
        <w:rPr>
          <w:rFonts w:cs="Calibri"/>
          <w:szCs w:val="22"/>
          <w:highlight w:val="lightGray"/>
          <w:lang w:val="nl-BE"/>
        </w:rPr>
        <w:t>Bedrijfsrevisorenkantoor XYZ</w:t>
      </w:r>
    </w:p>
    <w:p w14:paraId="5CD00BF9" w14:textId="22146EEC" w:rsidR="009057C8" w:rsidRPr="00143CD4" w:rsidRDefault="009057C8" w:rsidP="009057C8">
      <w:pPr>
        <w:jc w:val="both"/>
        <w:rPr>
          <w:rFonts w:cs="Calibri"/>
          <w:szCs w:val="22"/>
          <w:highlight w:val="lightGray"/>
          <w:lang w:val="nl-BE"/>
        </w:rPr>
      </w:pPr>
      <w:r w:rsidRPr="00143CD4">
        <w:rPr>
          <w:rFonts w:cs="Calibri"/>
          <w:szCs w:val="22"/>
          <w:highlight w:val="lightGray"/>
          <w:lang w:val="nl-BE"/>
        </w:rPr>
        <w:t>[Commissaris]</w:t>
      </w:r>
    </w:p>
    <w:p w14:paraId="34684865" w14:textId="77777777" w:rsidR="009057C8" w:rsidRPr="009057C8" w:rsidRDefault="009057C8" w:rsidP="009057C8">
      <w:pPr>
        <w:jc w:val="both"/>
        <w:rPr>
          <w:rFonts w:asciiTheme="minorHAnsi" w:eastAsia="Calibri" w:hAnsiTheme="minorHAnsi" w:cstheme="minorHAnsi"/>
          <w:szCs w:val="22"/>
          <w:lang w:val="nl-BE"/>
        </w:rPr>
      </w:pPr>
      <w:r w:rsidRPr="009057C8">
        <w:rPr>
          <w:rFonts w:asciiTheme="minorHAnsi" w:eastAsia="Calibri" w:hAnsiTheme="minorHAnsi" w:cstheme="minorHAnsi"/>
          <w:szCs w:val="22"/>
          <w:lang w:val="nl-BE"/>
        </w:rPr>
        <w:t>Vertegenwoordigd door</w:t>
      </w:r>
    </w:p>
    <w:p w14:paraId="1FAE1B9E" w14:textId="77777777" w:rsidR="009057C8" w:rsidRPr="00143CD4" w:rsidRDefault="009057C8" w:rsidP="009057C8">
      <w:pPr>
        <w:jc w:val="both"/>
        <w:rPr>
          <w:rFonts w:cs="Calibri"/>
          <w:szCs w:val="22"/>
          <w:highlight w:val="lightGray"/>
          <w:lang w:val="nl-BE"/>
        </w:rPr>
      </w:pPr>
      <w:r w:rsidRPr="00143CD4">
        <w:rPr>
          <w:rFonts w:cs="Calibri"/>
          <w:szCs w:val="22"/>
          <w:highlight w:val="lightGray"/>
          <w:lang w:val="nl-BE"/>
        </w:rPr>
        <w:t>Naam</w:t>
      </w:r>
    </w:p>
    <w:p w14:paraId="4923AADE" w14:textId="486B0316" w:rsidR="009F6858" w:rsidRPr="009057C8" w:rsidRDefault="00D5542B" w:rsidP="009057C8">
      <w:pPr>
        <w:rPr>
          <w:rFonts w:asciiTheme="minorHAnsi" w:hAnsiTheme="minorHAnsi" w:cstheme="minorHAnsi"/>
          <w:szCs w:val="22"/>
          <w:lang w:val="nl-BE"/>
        </w:rPr>
      </w:pPr>
      <w:r w:rsidRPr="00143CD4">
        <w:rPr>
          <w:rFonts w:cs="Calibri"/>
          <w:szCs w:val="22"/>
          <w:highlight w:val="lightGray"/>
          <w:lang w:val="nl-BE"/>
        </w:rPr>
        <w:t>[vennoot, bedrijfsrevisor]</w:t>
      </w:r>
    </w:p>
    <w:sectPr w:rsidR="009F6858" w:rsidRPr="009057C8" w:rsidSect="00BB21F1">
      <w:footerReference w:type="default" r:id="rId10"/>
      <w:pgSz w:w="11907" w:h="16840" w:code="9"/>
      <w:pgMar w:top="2552" w:right="1134" w:bottom="1418" w:left="1588" w:header="70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C1C6C" w14:textId="77777777" w:rsidR="00CA41E5" w:rsidRDefault="00CA41E5">
      <w:r>
        <w:separator/>
      </w:r>
    </w:p>
  </w:endnote>
  <w:endnote w:type="continuationSeparator" w:id="0">
    <w:p w14:paraId="556B906A" w14:textId="77777777" w:rsidR="00CA41E5" w:rsidRDefault="00CA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9B1F" w14:textId="7802A403" w:rsidR="00D5542B" w:rsidRPr="0014483D" w:rsidRDefault="00D5542B" w:rsidP="0014483D">
    <w:pPr>
      <w:pStyle w:val="Voettekst"/>
      <w:spacing w:after="440"/>
      <w:jc w:val="center"/>
      <w:rPr>
        <w:rFonts w:cs="Calibri"/>
        <w:szCs w:val="22"/>
      </w:rPr>
    </w:pPr>
    <w:r w:rsidRPr="00D02AD8">
      <w:rPr>
        <w:rFonts w:cs="Calibri"/>
        <w:szCs w:val="22"/>
      </w:rPr>
      <w:t xml:space="preserve">- </w:t>
    </w:r>
    <w:r w:rsidRPr="00D02AD8">
      <w:rPr>
        <w:rFonts w:cs="Calibri"/>
        <w:szCs w:val="22"/>
      </w:rPr>
      <w:fldChar w:fldCharType="begin"/>
    </w:r>
    <w:r w:rsidRPr="00D02AD8">
      <w:rPr>
        <w:rFonts w:cs="Calibri"/>
        <w:szCs w:val="22"/>
      </w:rPr>
      <w:instrText xml:space="preserve"> PAGE   \* MERGEFORMAT </w:instrText>
    </w:r>
    <w:r w:rsidRPr="00D02AD8">
      <w:rPr>
        <w:rFonts w:cs="Calibri"/>
        <w:szCs w:val="22"/>
      </w:rPr>
      <w:fldChar w:fldCharType="separate"/>
    </w:r>
    <w:r w:rsidR="007C286C">
      <w:rPr>
        <w:rFonts w:cs="Calibri"/>
        <w:noProof/>
        <w:szCs w:val="22"/>
      </w:rPr>
      <w:t>6</w:t>
    </w:r>
    <w:r w:rsidRPr="00D02AD8">
      <w:rPr>
        <w:rFonts w:cs="Calibri"/>
        <w:noProof/>
        <w:szCs w:val="22"/>
      </w:rPr>
      <w:fldChar w:fldCharType="end"/>
    </w:r>
    <w:r w:rsidRPr="00D02AD8">
      <w:rPr>
        <w:rFonts w:cs="Calibri"/>
        <w:noProof/>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562C" w14:textId="20B98F61" w:rsidR="00D5542B" w:rsidRPr="0014483D" w:rsidRDefault="00D5542B" w:rsidP="0014483D">
    <w:pPr>
      <w:pStyle w:val="Voettekst"/>
      <w:spacing w:after="440"/>
      <w:jc w:val="center"/>
      <w:rPr>
        <w:rFonts w:cs="Calibri"/>
        <w:szCs w:val="22"/>
      </w:rPr>
    </w:pPr>
    <w:r w:rsidRPr="00D02AD8">
      <w:rPr>
        <w:rFonts w:cs="Calibri"/>
        <w:szCs w:val="22"/>
      </w:rPr>
      <w:t xml:space="preserve">- </w:t>
    </w:r>
    <w:r w:rsidRPr="00D02AD8">
      <w:rPr>
        <w:rFonts w:cs="Calibri"/>
        <w:szCs w:val="22"/>
      </w:rPr>
      <w:fldChar w:fldCharType="begin"/>
    </w:r>
    <w:r w:rsidRPr="00D02AD8">
      <w:rPr>
        <w:rFonts w:cs="Calibri"/>
        <w:szCs w:val="22"/>
      </w:rPr>
      <w:instrText xml:space="preserve"> PAGE   \* MERGEFORMAT </w:instrText>
    </w:r>
    <w:r w:rsidRPr="00D02AD8">
      <w:rPr>
        <w:rFonts w:cs="Calibri"/>
        <w:szCs w:val="22"/>
      </w:rPr>
      <w:fldChar w:fldCharType="separate"/>
    </w:r>
    <w:r w:rsidR="007C286C">
      <w:rPr>
        <w:rFonts w:cs="Calibri"/>
        <w:noProof/>
        <w:szCs w:val="22"/>
      </w:rPr>
      <w:t>8</w:t>
    </w:r>
    <w:r w:rsidRPr="00D02AD8">
      <w:rPr>
        <w:rFonts w:cs="Calibri"/>
        <w:noProof/>
        <w:szCs w:val="22"/>
      </w:rPr>
      <w:fldChar w:fldCharType="end"/>
    </w:r>
    <w:r w:rsidRPr="00D02AD8">
      <w:rPr>
        <w:rFonts w:cs="Calibri"/>
        <w:noProof/>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A3EA" w14:textId="1A2F7D7F" w:rsidR="00D5542B" w:rsidRPr="0014483D" w:rsidRDefault="00D5542B" w:rsidP="0014483D">
    <w:pPr>
      <w:pStyle w:val="Voettekst"/>
      <w:spacing w:after="440"/>
      <w:jc w:val="center"/>
      <w:rPr>
        <w:rFonts w:cs="Calibri"/>
        <w:szCs w:val="22"/>
      </w:rPr>
    </w:pPr>
    <w:r w:rsidRPr="00D02AD8">
      <w:rPr>
        <w:rFonts w:cs="Calibri"/>
        <w:szCs w:val="22"/>
      </w:rPr>
      <w:t xml:space="preserve">- </w:t>
    </w:r>
    <w:r w:rsidRPr="00D02AD8">
      <w:rPr>
        <w:rFonts w:cs="Calibri"/>
        <w:szCs w:val="22"/>
      </w:rPr>
      <w:fldChar w:fldCharType="begin"/>
    </w:r>
    <w:r w:rsidRPr="00D02AD8">
      <w:rPr>
        <w:rFonts w:cs="Calibri"/>
        <w:szCs w:val="22"/>
      </w:rPr>
      <w:instrText xml:space="preserve"> PAGE   \* MERGEFORMAT </w:instrText>
    </w:r>
    <w:r w:rsidRPr="00D02AD8">
      <w:rPr>
        <w:rFonts w:cs="Calibri"/>
        <w:szCs w:val="22"/>
      </w:rPr>
      <w:fldChar w:fldCharType="separate"/>
    </w:r>
    <w:r w:rsidR="007C286C">
      <w:rPr>
        <w:rFonts w:cs="Calibri"/>
        <w:noProof/>
        <w:szCs w:val="22"/>
      </w:rPr>
      <w:t>11</w:t>
    </w:r>
    <w:r w:rsidRPr="00D02AD8">
      <w:rPr>
        <w:rFonts w:cs="Calibri"/>
        <w:noProof/>
        <w:szCs w:val="22"/>
      </w:rPr>
      <w:fldChar w:fldCharType="end"/>
    </w:r>
    <w:r w:rsidRPr="00D02AD8">
      <w:rPr>
        <w:rFonts w:cs="Calibri"/>
        <w:noProof/>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8F88D" w14:textId="77777777" w:rsidR="00CA41E5" w:rsidRDefault="00CA41E5">
      <w:r>
        <w:separator/>
      </w:r>
    </w:p>
  </w:footnote>
  <w:footnote w:type="continuationSeparator" w:id="0">
    <w:p w14:paraId="28B09AC0" w14:textId="77777777" w:rsidR="00CA41E5" w:rsidRDefault="00CA41E5">
      <w:r>
        <w:continuationSeparator/>
      </w:r>
    </w:p>
  </w:footnote>
  <w:footnote w:id="1">
    <w:p w14:paraId="40EDD2EC" w14:textId="70F61A5E" w:rsidR="009B16DD" w:rsidRPr="009B16DD" w:rsidRDefault="009B16DD" w:rsidP="00FC019C">
      <w:pPr>
        <w:autoSpaceDE w:val="0"/>
        <w:autoSpaceDN w:val="0"/>
        <w:adjustRightInd w:val="0"/>
        <w:jc w:val="both"/>
        <w:rPr>
          <w:lang w:val="nl-BE"/>
        </w:rPr>
      </w:pPr>
      <w:r>
        <w:rPr>
          <w:rStyle w:val="Voetnootmarkering"/>
        </w:rPr>
        <w:footnoteRef/>
      </w:r>
      <w:r w:rsidRPr="009B16DD">
        <w:rPr>
          <w:lang w:val="nl-BE"/>
        </w:rPr>
        <w:t xml:space="preserve"> </w:t>
      </w:r>
      <w:r w:rsidRPr="009B16DD">
        <w:rPr>
          <w:sz w:val="20"/>
          <w:szCs w:val="20"/>
          <w:lang w:val="nl-BE"/>
        </w:rPr>
        <w:t>Aan te passen in functie van de context: de commissaris (a</w:t>
      </w:r>
      <w:r w:rsidRPr="009B16DD">
        <w:rPr>
          <w:rFonts w:cs="Verdana"/>
          <w:sz w:val="20"/>
          <w:szCs w:val="20"/>
          <w:lang w:val="nl-BE"/>
        </w:rPr>
        <w:t xml:space="preserve">ls de jaarrekening van de Vlaamse rechtspersoon gecertificeerd moet worden in het kader van de wetgeving op de handelsvennootschappen), of de beëdigde bedrijfsrevisor (aangesteld door een organiek decreet of een oprichtingsdecreet), of de aangestelde revisor (als de rechtspersoon wordt ondergebracht onder de sectorale code 13.12, rubriek  deelstaatoverheid' van het Europees systeem van nationale en regionale rekeningen, vermeld in verordening (EG) nr. 2223/96 van de Raad van 25 juni 1996 betreffende het Europees systeem van de nationale en regionale rekeningen in de gemeenschap). </w:t>
      </w:r>
      <w:r w:rsidRPr="0005113F">
        <w:rPr>
          <w:rFonts w:cs="Verdana"/>
          <w:sz w:val="20"/>
          <w:szCs w:val="20"/>
          <w:lang w:val="nl-BE"/>
        </w:rPr>
        <w:t>(art. 50,  § 2 van het Vlaams Rekendecreet)</w:t>
      </w:r>
    </w:p>
  </w:footnote>
  <w:footnote w:id="2">
    <w:p w14:paraId="7EC17CED" w14:textId="77777777" w:rsidR="009B16DD" w:rsidRPr="009B16DD" w:rsidRDefault="009B16DD">
      <w:pPr>
        <w:pStyle w:val="Voetnoottekst"/>
        <w:rPr>
          <w:lang w:val="nl-BE"/>
        </w:rPr>
      </w:pPr>
      <w:r>
        <w:rPr>
          <w:rStyle w:val="Voetnootmarkering"/>
        </w:rPr>
        <w:footnoteRef/>
      </w:r>
      <w:r w:rsidRPr="009B16DD">
        <w:rPr>
          <w:lang w:val="nl-BE"/>
        </w:rPr>
        <w:t xml:space="preserve"> Aan te passen in functie van de context. Sommige Vlaamse rechtspersonen hebben geen raad van bestuur. Zie Vlaams Rekendecreet, in het bijzonder artikel 46. De jaarrekening wordt in dat geval opgesteld door de Vlaamse Regering en het verslag zal gericht worden aan degenen die, conform het oprichtingsdecreet of –besluit of de statuten van de Vlaamse Rechtspersoon, belast zijn met </w:t>
      </w:r>
      <w:r w:rsidRPr="009B16DD">
        <w:rPr>
          <w:i/>
          <w:lang w:val="nl-BE"/>
        </w:rPr>
        <w:t>governance</w:t>
      </w:r>
      <w:r w:rsidRPr="009B16DD">
        <w:rPr>
          <w:lang w:val="nl-BE"/>
        </w:rPr>
        <w:t>.</w:t>
      </w:r>
    </w:p>
  </w:footnote>
  <w:footnote w:id="3">
    <w:p w14:paraId="5AD06300" w14:textId="77777777" w:rsidR="000B1204" w:rsidRPr="007E37B2" w:rsidRDefault="000B1204" w:rsidP="000B1204">
      <w:pPr>
        <w:autoSpaceDE w:val="0"/>
        <w:autoSpaceDN w:val="0"/>
        <w:adjustRightInd w:val="0"/>
        <w:jc w:val="both"/>
        <w:rPr>
          <w:sz w:val="20"/>
          <w:szCs w:val="20"/>
          <w:lang w:val="nl-BE"/>
        </w:rPr>
      </w:pPr>
      <w:r>
        <w:rPr>
          <w:rStyle w:val="Voetnootmarkering"/>
        </w:rPr>
        <w:footnoteRef/>
      </w:r>
      <w:r w:rsidRPr="009B16DD">
        <w:rPr>
          <w:lang w:val="nl-BE"/>
        </w:rPr>
        <w:t xml:space="preserve"> </w:t>
      </w:r>
      <w:r w:rsidRPr="009B16DD">
        <w:rPr>
          <w:sz w:val="20"/>
          <w:szCs w:val="20"/>
          <w:lang w:val="nl-BE"/>
        </w:rPr>
        <w:t>Aan te passen in functie v</w:t>
      </w:r>
      <w:r>
        <w:rPr>
          <w:sz w:val="20"/>
          <w:szCs w:val="20"/>
          <w:lang w:val="nl-BE"/>
        </w:rPr>
        <w:t>an de context: Voor Universiteiten, hogescholen en een aantal andere ambtshalve geregistreerde instellingen voor hoger onderwijs in de Vlaamse Gemeenschap dient te worden verwezen naar het Besluit van de Vlaamse Regering van 9 oktober 2015 betreffende controle en single audit die van toepassing is op de universiteiten, hogescholen en een aantal andere ambtshalve geregistreerde instellingen voor hoger onderwijs in de Vlaamse Gemeenschap.</w:t>
      </w:r>
    </w:p>
    <w:p w14:paraId="0772DAF5" w14:textId="77777777" w:rsidR="000B1204" w:rsidRPr="009B16DD" w:rsidRDefault="000B1204" w:rsidP="000B1204">
      <w:pPr>
        <w:pStyle w:val="Voetnoottekst"/>
        <w:rPr>
          <w:lang w:val="nl-BE"/>
        </w:rPr>
      </w:pPr>
    </w:p>
  </w:footnote>
  <w:footnote w:id="4">
    <w:p w14:paraId="6A8A18D4" w14:textId="77777777" w:rsidR="000B1204" w:rsidRPr="00AF4E46" w:rsidRDefault="000B1204" w:rsidP="000B1204">
      <w:pPr>
        <w:autoSpaceDE w:val="0"/>
        <w:autoSpaceDN w:val="0"/>
        <w:adjustRightInd w:val="0"/>
        <w:jc w:val="both"/>
        <w:rPr>
          <w:sz w:val="20"/>
          <w:szCs w:val="20"/>
          <w:lang w:val="nl-BE"/>
        </w:rPr>
      </w:pPr>
      <w:r>
        <w:rPr>
          <w:rStyle w:val="Voetnootmarkering"/>
        </w:rPr>
        <w:footnoteRef/>
      </w:r>
      <w:r w:rsidRPr="009B16DD">
        <w:rPr>
          <w:lang w:val="nl-BE"/>
        </w:rPr>
        <w:t xml:space="preserve"> </w:t>
      </w:r>
      <w:r w:rsidRPr="009B16DD">
        <w:rPr>
          <w:sz w:val="20"/>
          <w:szCs w:val="20"/>
          <w:lang w:val="nl-BE"/>
        </w:rPr>
        <w:t>Aan te passen in functie v</w:t>
      </w:r>
      <w:r>
        <w:rPr>
          <w:sz w:val="20"/>
          <w:szCs w:val="20"/>
          <w:lang w:val="nl-BE"/>
        </w:rPr>
        <w:t>an de context: Voor Universiteiten, hogescholen en een aantal andere ambtshalve geregistreerde instellingen voor hoger onderwijs in de Vlaamse Gemeenschap is dit verslag niet van toepassing.</w:t>
      </w:r>
    </w:p>
    <w:p w14:paraId="4EE778B9" w14:textId="77777777" w:rsidR="000B1204" w:rsidRPr="009B16DD" w:rsidRDefault="000B1204" w:rsidP="000B1204">
      <w:pPr>
        <w:pStyle w:val="Voetnoottekst"/>
        <w:rPr>
          <w:lang w:val="nl-BE"/>
        </w:rPr>
      </w:pPr>
    </w:p>
  </w:footnote>
  <w:footnote w:id="5">
    <w:p w14:paraId="67F6ECCB" w14:textId="77777777" w:rsidR="002077F6" w:rsidRPr="001434A3" w:rsidRDefault="002077F6" w:rsidP="002077F6">
      <w:pPr>
        <w:pStyle w:val="Voetnoottekst"/>
        <w:jc w:val="both"/>
        <w:rPr>
          <w:rFonts w:asciiTheme="minorHAnsi" w:hAnsiTheme="minorHAnsi"/>
          <w:i/>
          <w:lang w:val="nl-BE"/>
        </w:rPr>
      </w:pPr>
      <w:r w:rsidRPr="001434A3">
        <w:rPr>
          <w:rStyle w:val="Voetnootmarkering"/>
          <w:rFonts w:asciiTheme="minorHAnsi" w:hAnsiTheme="minorHAnsi"/>
        </w:rPr>
        <w:footnoteRef/>
      </w:r>
      <w:r w:rsidRPr="00CB2F1F">
        <w:rPr>
          <w:rFonts w:asciiTheme="minorHAnsi" w:hAnsiTheme="minorHAnsi"/>
          <w:lang w:val="nl-BE"/>
        </w:rPr>
        <w:t xml:space="preserve"> </w:t>
      </w:r>
      <w:r w:rsidRPr="001434A3">
        <w:rPr>
          <w:rFonts w:asciiTheme="minorHAnsi" w:hAnsiTheme="minorHAnsi"/>
          <w:highlight w:val="lightGray"/>
          <w:lang w:val="nl-BE"/>
        </w:rPr>
        <w:t>In voorkomend geval aan te passen als volgt</w:t>
      </w:r>
      <w:r w:rsidRPr="001434A3">
        <w:rPr>
          <w:rFonts w:asciiTheme="minorHAnsi" w:hAnsiTheme="minorHAnsi"/>
          <w:lang w:val="nl-BE"/>
        </w:rPr>
        <w:t>: “</w:t>
      </w:r>
      <w:r w:rsidRPr="001434A3">
        <w:rPr>
          <w:rFonts w:asciiTheme="minorHAnsi" w:hAnsiTheme="minorHAnsi"/>
          <w:i/>
          <w:lang w:val="nl-BE"/>
        </w:rPr>
        <w:t>uitgebracht op aanbeveling van het auditcomité en op voordracht van de ondernemingsraad”.</w:t>
      </w:r>
    </w:p>
  </w:footnote>
  <w:footnote w:id="6">
    <w:p w14:paraId="519A9921" w14:textId="77777777" w:rsidR="009447B4" w:rsidRPr="005D420F" w:rsidRDefault="009447B4" w:rsidP="009447B4">
      <w:pPr>
        <w:pStyle w:val="Voetnoottekst"/>
        <w:jc w:val="both"/>
        <w:rPr>
          <w:lang w:val="nl-BE"/>
        </w:rPr>
      </w:pPr>
      <w:r>
        <w:rPr>
          <w:rStyle w:val="Voetnootmarkering"/>
        </w:rPr>
        <w:footnoteRef/>
      </w:r>
      <w:r w:rsidRPr="00FC019C">
        <w:rPr>
          <w:lang w:val="nl-BE"/>
        </w:rPr>
        <w:t xml:space="preserve"> </w:t>
      </w:r>
      <w:r w:rsidRPr="00A251F0">
        <w:rPr>
          <w:highlight w:val="lightGray"/>
          <w:lang w:val="nl-BE"/>
        </w:rPr>
        <w:t>In voorkomend geval, indien het eerste opdrachtjaar niet op nauwkeurige wijze kan worden vastgesteld, waarbij in voorkomend geval wordt teruggegaan vóór 1997, kan de bedrijfsrevisor in zijn verslag vermelden welke moeilijkheden hij bij het achterhalen van de precieze datum van eerste benoeming heeft ondervonden en de zin aanpassen als volgt</w:t>
      </w:r>
      <w:r>
        <w:rPr>
          <w:lang w:val="nl-BE"/>
        </w:rPr>
        <w:t>: “</w:t>
      </w:r>
      <w:r w:rsidRPr="00A251F0">
        <w:rPr>
          <w:i/>
          <w:lang w:val="nl-BE"/>
        </w:rPr>
        <w:t>Wij zijn in functie sinds minstens [X] jaar.</w:t>
      </w:r>
      <w:r w:rsidRPr="00A251F0">
        <w:rPr>
          <w:lang w:val="nl-BE"/>
        </w:rPr>
        <w:t>”</w:t>
      </w:r>
    </w:p>
  </w:footnote>
  <w:footnote w:id="7">
    <w:p w14:paraId="1FE3980B" w14:textId="77777777" w:rsidR="000B58F7" w:rsidRPr="008E30E7" w:rsidRDefault="000B58F7" w:rsidP="000B58F7">
      <w:pPr>
        <w:pStyle w:val="Voetnoottekst"/>
        <w:rPr>
          <w:lang w:val="nl-BE"/>
        </w:rPr>
      </w:pPr>
      <w:r w:rsidRPr="008E30E7">
        <w:rPr>
          <w:vertAlign w:val="superscript"/>
          <w:lang w:val="nl-BE"/>
        </w:rPr>
        <w:t>(</w:t>
      </w:r>
      <w:r w:rsidRPr="00F17221">
        <w:rPr>
          <w:rStyle w:val="Voetnootmarkering"/>
        </w:rPr>
        <w:footnoteRef/>
      </w:r>
      <w:r w:rsidRPr="008E30E7">
        <w:rPr>
          <w:vertAlign w:val="superscript"/>
          <w:lang w:val="nl-BE"/>
        </w:rPr>
        <w:t>)</w:t>
      </w:r>
      <w:r w:rsidRPr="008E30E7">
        <w:rPr>
          <w:lang w:val="nl-BE"/>
        </w:rPr>
        <w:t xml:space="preserve"> Deze zinsnede dient te worden toegevoegd indien artikel 50, § 2 van het rekendecreet van toepassing is.</w:t>
      </w:r>
    </w:p>
  </w:footnote>
  <w:footnote w:id="8">
    <w:p w14:paraId="32D73D9A" w14:textId="77777777" w:rsidR="002C2866" w:rsidRPr="00FC019C" w:rsidRDefault="002C2866" w:rsidP="002C2866">
      <w:pPr>
        <w:pStyle w:val="Voetnoottekst"/>
        <w:jc w:val="both"/>
        <w:rPr>
          <w:lang w:val="nl-BE"/>
        </w:rPr>
      </w:pPr>
      <w:r w:rsidRPr="00FC019C">
        <w:rPr>
          <w:vertAlign w:val="superscript"/>
          <w:lang w:val="nl-BE"/>
        </w:rPr>
        <w:t>(</w:t>
      </w:r>
      <w:r w:rsidRPr="00F17221">
        <w:rPr>
          <w:rStyle w:val="Voetnootmarkering"/>
        </w:rPr>
        <w:footnoteRef/>
      </w:r>
      <w:r w:rsidRPr="00FC019C">
        <w:rPr>
          <w:vertAlign w:val="superscript"/>
          <w:lang w:val="nl-BE"/>
        </w:rPr>
        <w:t>)</w:t>
      </w:r>
      <w:r w:rsidRPr="00FC019C">
        <w:rPr>
          <w:lang w:val="nl-BE"/>
        </w:rPr>
        <w:t xml:space="preserve"> De bedrijfsrevisor dient de impact van overwegingen in verband met het aangepast karakter en de werking van de administratieve en boekhoudkundige organisatie, gericht op de productie van financiële rapportering, te beoordelen. Doen deze overwegingen geen afbreuk aan het oordeel over het getrouw beeld van de jaarrekening conform het rekendecreet en de uitvoeringsbesluiten, maar zijn deze relevant voor het begrip dat de gebruikers hebben van de controle, de verantwoordelijkheden van de bedrijfsrevisor of het controleverslag zal de bedrijfsrevisor deze overwegingen opnemen in een paragraaf inzake overige aangelegenheden op het einde van het eerste deel van het verslag.</w:t>
      </w:r>
    </w:p>
  </w:footnote>
  <w:footnote w:id="9">
    <w:p w14:paraId="35EBEA06" w14:textId="77777777" w:rsidR="002C2866" w:rsidRPr="00FC019C" w:rsidRDefault="002C2866" w:rsidP="002C2866">
      <w:pPr>
        <w:pStyle w:val="Voetnoottekst"/>
        <w:rPr>
          <w:vertAlign w:val="superscript"/>
          <w:lang w:val="nl-BE"/>
        </w:rPr>
      </w:pPr>
      <w:r w:rsidRPr="00FC019C">
        <w:rPr>
          <w:vertAlign w:val="superscript"/>
          <w:lang w:val="nl-BE"/>
        </w:rPr>
        <w:t>(</w:t>
      </w:r>
      <w:r w:rsidRPr="00F17221">
        <w:rPr>
          <w:rStyle w:val="Voetnootmarkering"/>
        </w:rPr>
        <w:footnoteRef/>
      </w:r>
      <w:r w:rsidRPr="00FC019C">
        <w:rPr>
          <w:vertAlign w:val="superscript"/>
          <w:lang w:val="nl-BE"/>
        </w:rPr>
        <w:t>)</w:t>
      </w:r>
      <w:r w:rsidRPr="00FC019C">
        <w:rPr>
          <w:lang w:val="nl-BE"/>
        </w:rPr>
        <w:t xml:space="preserve"> Bij gebrek aan een raad van bestuur, stelt de Vlaamse regering (voogdijminister) de jaarrekening op.</w:t>
      </w:r>
      <w:r w:rsidRPr="00FC019C">
        <w:rPr>
          <w:vertAlign w:val="superscript"/>
          <w:lang w:val="nl-BE"/>
        </w:rPr>
        <w:t xml:space="preserve"> </w:t>
      </w:r>
    </w:p>
  </w:footnote>
  <w:footnote w:id="10">
    <w:p w14:paraId="0962E350" w14:textId="77777777" w:rsidR="002C2866" w:rsidRPr="00FC019C" w:rsidRDefault="002C2866" w:rsidP="002C2866">
      <w:pPr>
        <w:pStyle w:val="Voetnoottekst"/>
        <w:jc w:val="both"/>
        <w:rPr>
          <w:lang w:val="nl-BE"/>
        </w:rPr>
      </w:pPr>
      <w:r w:rsidRPr="00FC019C">
        <w:rPr>
          <w:lang w:val="nl-BE"/>
        </w:rPr>
        <w:t>[</w:t>
      </w:r>
      <w:r>
        <w:rPr>
          <w:rStyle w:val="Voetnootmarkering"/>
        </w:rPr>
        <w:footnoteRef/>
      </w:r>
      <w:r w:rsidRPr="00FC019C">
        <w:rPr>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Opdat het voor de lezer van het verslag duidelijk is welke documenten werden beoogd door de werkzaamheden van de commissaris, is het dan ook belangrijk dat deze uitdrukkelijk worden aangegeven in zijn verslag.</w:t>
      </w:r>
    </w:p>
    <w:p w14:paraId="31B717A8" w14:textId="5C77C436" w:rsidR="002C2866" w:rsidRPr="00011A4E" w:rsidRDefault="002C2866" w:rsidP="002C2866">
      <w:pPr>
        <w:pStyle w:val="Voetnoottekst"/>
        <w:jc w:val="both"/>
        <w:rPr>
          <w:lang w:val="nl-BE"/>
        </w:rPr>
      </w:pPr>
      <w:r>
        <w:rPr>
          <w:lang w:val="nl-BE"/>
        </w:rPr>
        <w:t>P</w:t>
      </w:r>
      <w:r w:rsidRPr="00FC019C">
        <w:rPr>
          <w:lang w:val="nl-BE"/>
        </w:rPr>
        <w:t>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11">
    <w:p w14:paraId="09601355" w14:textId="77777777" w:rsidR="000B1204" w:rsidRPr="00AF4E46" w:rsidRDefault="000B1204" w:rsidP="000B1204">
      <w:pPr>
        <w:autoSpaceDE w:val="0"/>
        <w:autoSpaceDN w:val="0"/>
        <w:adjustRightInd w:val="0"/>
        <w:jc w:val="both"/>
        <w:rPr>
          <w:sz w:val="20"/>
          <w:szCs w:val="20"/>
          <w:lang w:val="nl-BE"/>
        </w:rPr>
      </w:pPr>
      <w:r>
        <w:rPr>
          <w:rStyle w:val="Voetnootmarkering"/>
        </w:rPr>
        <w:footnoteRef/>
      </w:r>
      <w:r w:rsidRPr="009B16DD">
        <w:rPr>
          <w:lang w:val="nl-BE"/>
        </w:rPr>
        <w:t xml:space="preserve"> </w:t>
      </w:r>
      <w:r w:rsidRPr="009B16DD">
        <w:rPr>
          <w:sz w:val="20"/>
          <w:szCs w:val="20"/>
          <w:lang w:val="nl-BE"/>
        </w:rPr>
        <w:t>Aan te passen in functie v</w:t>
      </w:r>
      <w:r>
        <w:rPr>
          <w:sz w:val="20"/>
          <w:szCs w:val="20"/>
          <w:lang w:val="nl-BE"/>
        </w:rPr>
        <w:t>an de context: Voor Universiteiten, hogescholen en een aantal andere ambtshalve geregistreerde instellingen voor hoger onderwijs in de Vlaamse Gemeenschap dient te worden verwezen naar het artikel 7, §5 van het Besluit van de Vlaamse Regering van 9 oktober 2015 betreffende controle en single audit die van toepassing is op de universiteiten, hogescholen en een aantal andere ambtshalve geregistreerde instellingen voor hoger onderwijs in de Vlaamse Gemeenschap.</w:t>
      </w:r>
    </w:p>
    <w:p w14:paraId="45D250FC" w14:textId="77777777" w:rsidR="000B1204" w:rsidRPr="009B16DD" w:rsidRDefault="000B1204" w:rsidP="000B1204">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25pt;height:27.75pt" o:bullet="t">
        <v:imagedata r:id="rId1" o:title=""/>
      </v:shape>
    </w:pict>
  </w:numPicBullet>
  <w:abstractNum w:abstractNumId="0" w15:restartNumberingAfterBreak="0">
    <w:nsid w:val="06A5054A"/>
    <w:multiLevelType w:val="hybridMultilevel"/>
    <w:tmpl w:val="199E21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26A19C3"/>
    <w:multiLevelType w:val="singleLevel"/>
    <w:tmpl w:val="A970AC5C"/>
    <w:lvl w:ilvl="0">
      <w:numFmt w:val="bullet"/>
      <w:lvlText w:val="-"/>
      <w:lvlJc w:val="left"/>
      <w:pPr>
        <w:ind w:left="360" w:hanging="360"/>
      </w:pPr>
      <w:rPr>
        <w:rFonts w:ascii="Times New Roman" w:eastAsia="Times New Roman" w:hAnsi="Times New Roman" w:cs="Times New Roman" w:hint="default"/>
        <w:color w:val="auto"/>
        <w:sz w:val="22"/>
      </w:rPr>
    </w:lvl>
  </w:abstractNum>
  <w:abstractNum w:abstractNumId="2"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24C73168"/>
    <w:multiLevelType w:val="hybridMultilevel"/>
    <w:tmpl w:val="E02CA71A"/>
    <w:lvl w:ilvl="0" w:tplc="2820D9F4">
      <w:start w:val="1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A20C0"/>
    <w:multiLevelType w:val="hybridMultilevel"/>
    <w:tmpl w:val="3B465D26"/>
    <w:lvl w:ilvl="0" w:tplc="CFB6245C">
      <w:numFmt w:val="bullet"/>
      <w:pStyle w:val="Inhopg1"/>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20A6E"/>
    <w:multiLevelType w:val="hybridMultilevel"/>
    <w:tmpl w:val="157ECBEE"/>
    <w:lvl w:ilvl="0" w:tplc="05C805C0">
      <w:start w:val="1"/>
      <w:numFmt w:val="bullet"/>
      <w:lvlText w:val=""/>
      <w:lvlJc w:val="left"/>
      <w:pPr>
        <w:ind w:left="720" w:hanging="360"/>
      </w:pPr>
      <w:rPr>
        <w:rFonts w:ascii="Symbol" w:hAnsi="Symbol" w:hint="default"/>
      </w:rPr>
    </w:lvl>
    <w:lvl w:ilvl="1" w:tplc="DB36606E">
      <w:numFmt w:val="bullet"/>
      <w:lvlText w:val="-"/>
      <w:lvlJc w:val="left"/>
      <w:pPr>
        <w:ind w:left="1440" w:hanging="360"/>
      </w:pPr>
      <w:rPr>
        <w:rFonts w:ascii="Courier New" w:eastAsia="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5DF1FA5"/>
    <w:multiLevelType w:val="hybridMultilevel"/>
    <w:tmpl w:val="3F1434B4"/>
    <w:lvl w:ilvl="0" w:tplc="1674B1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D5BCA"/>
    <w:multiLevelType w:val="hybridMultilevel"/>
    <w:tmpl w:val="2CA28F8E"/>
    <w:lvl w:ilvl="0" w:tplc="925429C8">
      <w:start w:val="1"/>
      <w:numFmt w:val="bullet"/>
      <w:lvlText w:val=""/>
      <w:lvlJc w:val="left"/>
      <w:pPr>
        <w:tabs>
          <w:tab w:val="num" w:pos="720"/>
        </w:tabs>
        <w:ind w:left="720" w:hanging="360"/>
      </w:pPr>
      <w:rPr>
        <w:rFonts w:ascii="Wingdings" w:eastAsia="Times New Roman" w:hAnsi="Wingdings"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9D"/>
    <w:rsid w:val="00005246"/>
    <w:rsid w:val="0001364A"/>
    <w:rsid w:val="00017DAC"/>
    <w:rsid w:val="0002111E"/>
    <w:rsid w:val="000212A2"/>
    <w:rsid w:val="0002459F"/>
    <w:rsid w:val="00026897"/>
    <w:rsid w:val="0003116E"/>
    <w:rsid w:val="00032433"/>
    <w:rsid w:val="00032DAC"/>
    <w:rsid w:val="00034507"/>
    <w:rsid w:val="00035FC3"/>
    <w:rsid w:val="00036C9C"/>
    <w:rsid w:val="0004160F"/>
    <w:rsid w:val="0004189E"/>
    <w:rsid w:val="0005113F"/>
    <w:rsid w:val="0005638F"/>
    <w:rsid w:val="000566CB"/>
    <w:rsid w:val="00063641"/>
    <w:rsid w:val="00074B82"/>
    <w:rsid w:val="00081040"/>
    <w:rsid w:val="00082745"/>
    <w:rsid w:val="00084356"/>
    <w:rsid w:val="00086532"/>
    <w:rsid w:val="0008717F"/>
    <w:rsid w:val="000A1EFB"/>
    <w:rsid w:val="000B1204"/>
    <w:rsid w:val="000B1370"/>
    <w:rsid w:val="000B2B7C"/>
    <w:rsid w:val="000B58F7"/>
    <w:rsid w:val="000B6B25"/>
    <w:rsid w:val="000B6B2B"/>
    <w:rsid w:val="000C26E7"/>
    <w:rsid w:val="000D046F"/>
    <w:rsid w:val="000D7B0D"/>
    <w:rsid w:val="000E0C16"/>
    <w:rsid w:val="000E14EB"/>
    <w:rsid w:val="000F283B"/>
    <w:rsid w:val="000F4F7E"/>
    <w:rsid w:val="000F673E"/>
    <w:rsid w:val="00100B93"/>
    <w:rsid w:val="0010258B"/>
    <w:rsid w:val="001112BD"/>
    <w:rsid w:val="0011350E"/>
    <w:rsid w:val="00116B6A"/>
    <w:rsid w:val="001204D8"/>
    <w:rsid w:val="0012109B"/>
    <w:rsid w:val="00122E16"/>
    <w:rsid w:val="00123EA4"/>
    <w:rsid w:val="00124E24"/>
    <w:rsid w:val="0012556C"/>
    <w:rsid w:val="00130953"/>
    <w:rsid w:val="001423DB"/>
    <w:rsid w:val="00143CD4"/>
    <w:rsid w:val="0014483D"/>
    <w:rsid w:val="00146BF6"/>
    <w:rsid w:val="00154C5E"/>
    <w:rsid w:val="001613E1"/>
    <w:rsid w:val="00161977"/>
    <w:rsid w:val="001621AC"/>
    <w:rsid w:val="001624CC"/>
    <w:rsid w:val="00162613"/>
    <w:rsid w:val="00170CDE"/>
    <w:rsid w:val="001742D3"/>
    <w:rsid w:val="001748C1"/>
    <w:rsid w:val="00177D70"/>
    <w:rsid w:val="001819C1"/>
    <w:rsid w:val="00182D90"/>
    <w:rsid w:val="001902F6"/>
    <w:rsid w:val="00192A37"/>
    <w:rsid w:val="00192F88"/>
    <w:rsid w:val="001944A9"/>
    <w:rsid w:val="001A32A7"/>
    <w:rsid w:val="001C2EFF"/>
    <w:rsid w:val="001D346A"/>
    <w:rsid w:val="001E2D91"/>
    <w:rsid w:val="001E5B7C"/>
    <w:rsid w:val="001E7E95"/>
    <w:rsid w:val="001F6A24"/>
    <w:rsid w:val="002077F6"/>
    <w:rsid w:val="0021380C"/>
    <w:rsid w:val="00221659"/>
    <w:rsid w:val="0022188C"/>
    <w:rsid w:val="002233E6"/>
    <w:rsid w:val="0022588C"/>
    <w:rsid w:val="00237DD0"/>
    <w:rsid w:val="00243E31"/>
    <w:rsid w:val="00251BAC"/>
    <w:rsid w:val="00256DB3"/>
    <w:rsid w:val="00261FA6"/>
    <w:rsid w:val="00263B6F"/>
    <w:rsid w:val="002654E9"/>
    <w:rsid w:val="00270FB9"/>
    <w:rsid w:val="0027169C"/>
    <w:rsid w:val="00276A4A"/>
    <w:rsid w:val="00277DD8"/>
    <w:rsid w:val="002828D2"/>
    <w:rsid w:val="00284BDD"/>
    <w:rsid w:val="0028791B"/>
    <w:rsid w:val="0029431F"/>
    <w:rsid w:val="0029479F"/>
    <w:rsid w:val="0029510E"/>
    <w:rsid w:val="002963FA"/>
    <w:rsid w:val="00296F15"/>
    <w:rsid w:val="002B58B4"/>
    <w:rsid w:val="002B6DF4"/>
    <w:rsid w:val="002C2866"/>
    <w:rsid w:val="002C6151"/>
    <w:rsid w:val="002D5D9E"/>
    <w:rsid w:val="002E2771"/>
    <w:rsid w:val="002E761B"/>
    <w:rsid w:val="002F179C"/>
    <w:rsid w:val="00312FF3"/>
    <w:rsid w:val="00317209"/>
    <w:rsid w:val="00330B28"/>
    <w:rsid w:val="003365A6"/>
    <w:rsid w:val="00342FF5"/>
    <w:rsid w:val="00344468"/>
    <w:rsid w:val="00345832"/>
    <w:rsid w:val="00347794"/>
    <w:rsid w:val="00352EAE"/>
    <w:rsid w:val="003553D4"/>
    <w:rsid w:val="00355E41"/>
    <w:rsid w:val="00356819"/>
    <w:rsid w:val="00360431"/>
    <w:rsid w:val="00360757"/>
    <w:rsid w:val="00363DD5"/>
    <w:rsid w:val="00364DD9"/>
    <w:rsid w:val="00370C9F"/>
    <w:rsid w:val="00371B14"/>
    <w:rsid w:val="00380A65"/>
    <w:rsid w:val="003821C1"/>
    <w:rsid w:val="003A1DC7"/>
    <w:rsid w:val="003B1F0F"/>
    <w:rsid w:val="003B639C"/>
    <w:rsid w:val="003D0A8D"/>
    <w:rsid w:val="003D25C9"/>
    <w:rsid w:val="003D6984"/>
    <w:rsid w:val="003E2D04"/>
    <w:rsid w:val="003E30CE"/>
    <w:rsid w:val="003E5B68"/>
    <w:rsid w:val="003F6E5E"/>
    <w:rsid w:val="0040093E"/>
    <w:rsid w:val="004012CD"/>
    <w:rsid w:val="00401795"/>
    <w:rsid w:val="004108BF"/>
    <w:rsid w:val="00412EB5"/>
    <w:rsid w:val="0042194A"/>
    <w:rsid w:val="00421AFA"/>
    <w:rsid w:val="00436D19"/>
    <w:rsid w:val="004405B7"/>
    <w:rsid w:val="00443F05"/>
    <w:rsid w:val="0044428D"/>
    <w:rsid w:val="00447105"/>
    <w:rsid w:val="004602F5"/>
    <w:rsid w:val="004626C0"/>
    <w:rsid w:val="004641F8"/>
    <w:rsid w:val="004654C7"/>
    <w:rsid w:val="00466B68"/>
    <w:rsid w:val="00470804"/>
    <w:rsid w:val="00484036"/>
    <w:rsid w:val="004932BE"/>
    <w:rsid w:val="004942B9"/>
    <w:rsid w:val="0049742C"/>
    <w:rsid w:val="004A369D"/>
    <w:rsid w:val="004B501B"/>
    <w:rsid w:val="004C0B7E"/>
    <w:rsid w:val="004C1960"/>
    <w:rsid w:val="004C5CAA"/>
    <w:rsid w:val="004D2FE7"/>
    <w:rsid w:val="004D5651"/>
    <w:rsid w:val="004E2FDC"/>
    <w:rsid w:val="004E503A"/>
    <w:rsid w:val="004F1CFA"/>
    <w:rsid w:val="004F2A0B"/>
    <w:rsid w:val="004F6F0F"/>
    <w:rsid w:val="005008CF"/>
    <w:rsid w:val="00522483"/>
    <w:rsid w:val="005235DF"/>
    <w:rsid w:val="00531DF1"/>
    <w:rsid w:val="0054376F"/>
    <w:rsid w:val="005442B5"/>
    <w:rsid w:val="00546BB1"/>
    <w:rsid w:val="00552A2C"/>
    <w:rsid w:val="00554881"/>
    <w:rsid w:val="00560282"/>
    <w:rsid w:val="00560C98"/>
    <w:rsid w:val="00564628"/>
    <w:rsid w:val="00564630"/>
    <w:rsid w:val="005652C3"/>
    <w:rsid w:val="00577601"/>
    <w:rsid w:val="005805D7"/>
    <w:rsid w:val="00582A73"/>
    <w:rsid w:val="00595399"/>
    <w:rsid w:val="005B34AF"/>
    <w:rsid w:val="005B3CBC"/>
    <w:rsid w:val="005B7833"/>
    <w:rsid w:val="005C2E87"/>
    <w:rsid w:val="005C3925"/>
    <w:rsid w:val="005C57CB"/>
    <w:rsid w:val="005C5A1C"/>
    <w:rsid w:val="005D18BE"/>
    <w:rsid w:val="005D5A3B"/>
    <w:rsid w:val="005D5D2B"/>
    <w:rsid w:val="005D6C8C"/>
    <w:rsid w:val="005E5B25"/>
    <w:rsid w:val="005F1D33"/>
    <w:rsid w:val="005F5C62"/>
    <w:rsid w:val="0060577F"/>
    <w:rsid w:val="0061548E"/>
    <w:rsid w:val="006349A3"/>
    <w:rsid w:val="00634F12"/>
    <w:rsid w:val="00635ADE"/>
    <w:rsid w:val="00646DD5"/>
    <w:rsid w:val="006574C5"/>
    <w:rsid w:val="00657CA8"/>
    <w:rsid w:val="00662F51"/>
    <w:rsid w:val="00680764"/>
    <w:rsid w:val="006814DC"/>
    <w:rsid w:val="00682FA1"/>
    <w:rsid w:val="00687D21"/>
    <w:rsid w:val="00691A9E"/>
    <w:rsid w:val="006A024A"/>
    <w:rsid w:val="006A21CB"/>
    <w:rsid w:val="006A2904"/>
    <w:rsid w:val="006A37F2"/>
    <w:rsid w:val="006A68D6"/>
    <w:rsid w:val="006A7DF0"/>
    <w:rsid w:val="006B48C4"/>
    <w:rsid w:val="006C09B5"/>
    <w:rsid w:val="006C6ADF"/>
    <w:rsid w:val="006D5FC0"/>
    <w:rsid w:val="006E45CB"/>
    <w:rsid w:val="006F234E"/>
    <w:rsid w:val="00705299"/>
    <w:rsid w:val="007061CF"/>
    <w:rsid w:val="007068AD"/>
    <w:rsid w:val="00711510"/>
    <w:rsid w:val="00711D7B"/>
    <w:rsid w:val="00713249"/>
    <w:rsid w:val="007146B9"/>
    <w:rsid w:val="007173F1"/>
    <w:rsid w:val="007224E9"/>
    <w:rsid w:val="007259E9"/>
    <w:rsid w:val="00734994"/>
    <w:rsid w:val="0073741D"/>
    <w:rsid w:val="00741751"/>
    <w:rsid w:val="007550C2"/>
    <w:rsid w:val="00756439"/>
    <w:rsid w:val="00771653"/>
    <w:rsid w:val="0077352E"/>
    <w:rsid w:val="0077391C"/>
    <w:rsid w:val="00773EC6"/>
    <w:rsid w:val="00783AC8"/>
    <w:rsid w:val="0078572D"/>
    <w:rsid w:val="00785B8B"/>
    <w:rsid w:val="00790E11"/>
    <w:rsid w:val="007A1295"/>
    <w:rsid w:val="007C286C"/>
    <w:rsid w:val="007C2E1E"/>
    <w:rsid w:val="007D08BF"/>
    <w:rsid w:val="007D2F11"/>
    <w:rsid w:val="007D576C"/>
    <w:rsid w:val="007D6759"/>
    <w:rsid w:val="007D7EA5"/>
    <w:rsid w:val="007E2CC1"/>
    <w:rsid w:val="007E499A"/>
    <w:rsid w:val="007F2AFE"/>
    <w:rsid w:val="007F3049"/>
    <w:rsid w:val="007F40C8"/>
    <w:rsid w:val="007F7542"/>
    <w:rsid w:val="00801098"/>
    <w:rsid w:val="00802718"/>
    <w:rsid w:val="00802D9C"/>
    <w:rsid w:val="00803825"/>
    <w:rsid w:val="00805468"/>
    <w:rsid w:val="0080753E"/>
    <w:rsid w:val="0081246C"/>
    <w:rsid w:val="0081298B"/>
    <w:rsid w:val="0082560A"/>
    <w:rsid w:val="008266EC"/>
    <w:rsid w:val="008440D0"/>
    <w:rsid w:val="00851C4C"/>
    <w:rsid w:val="0085296D"/>
    <w:rsid w:val="00854A75"/>
    <w:rsid w:val="00855F11"/>
    <w:rsid w:val="00860BEB"/>
    <w:rsid w:val="00860E9E"/>
    <w:rsid w:val="008628BC"/>
    <w:rsid w:val="00874D1E"/>
    <w:rsid w:val="00876562"/>
    <w:rsid w:val="008767FF"/>
    <w:rsid w:val="008768EB"/>
    <w:rsid w:val="00877FD0"/>
    <w:rsid w:val="00883B57"/>
    <w:rsid w:val="0088625D"/>
    <w:rsid w:val="0089070D"/>
    <w:rsid w:val="00894DF5"/>
    <w:rsid w:val="008A1612"/>
    <w:rsid w:val="008A322E"/>
    <w:rsid w:val="008A6EC4"/>
    <w:rsid w:val="008B0168"/>
    <w:rsid w:val="008B6B81"/>
    <w:rsid w:val="008B7DDA"/>
    <w:rsid w:val="008C308E"/>
    <w:rsid w:val="008C3EC5"/>
    <w:rsid w:val="008C4191"/>
    <w:rsid w:val="008C70F9"/>
    <w:rsid w:val="008D32B8"/>
    <w:rsid w:val="008D436A"/>
    <w:rsid w:val="008D47B0"/>
    <w:rsid w:val="008D6FE5"/>
    <w:rsid w:val="008E1BB0"/>
    <w:rsid w:val="008E3FF1"/>
    <w:rsid w:val="008F2E2C"/>
    <w:rsid w:val="008F49B2"/>
    <w:rsid w:val="008F7503"/>
    <w:rsid w:val="00900660"/>
    <w:rsid w:val="0090111A"/>
    <w:rsid w:val="00903722"/>
    <w:rsid w:val="009057C8"/>
    <w:rsid w:val="00906CC1"/>
    <w:rsid w:val="00932C51"/>
    <w:rsid w:val="00940F46"/>
    <w:rsid w:val="00943DAF"/>
    <w:rsid w:val="009447B4"/>
    <w:rsid w:val="00945B4A"/>
    <w:rsid w:val="009474B3"/>
    <w:rsid w:val="00950E9D"/>
    <w:rsid w:val="00954E2E"/>
    <w:rsid w:val="009639A8"/>
    <w:rsid w:val="0096541D"/>
    <w:rsid w:val="0096641F"/>
    <w:rsid w:val="00966FCB"/>
    <w:rsid w:val="00973036"/>
    <w:rsid w:val="00974F31"/>
    <w:rsid w:val="009763BA"/>
    <w:rsid w:val="00997A8C"/>
    <w:rsid w:val="009A24F7"/>
    <w:rsid w:val="009A7B5B"/>
    <w:rsid w:val="009B0FC2"/>
    <w:rsid w:val="009B16DD"/>
    <w:rsid w:val="009B5C74"/>
    <w:rsid w:val="009C48EF"/>
    <w:rsid w:val="009D39CB"/>
    <w:rsid w:val="009E4BF0"/>
    <w:rsid w:val="009F6858"/>
    <w:rsid w:val="00A0195F"/>
    <w:rsid w:val="00A02272"/>
    <w:rsid w:val="00A1055E"/>
    <w:rsid w:val="00A11896"/>
    <w:rsid w:val="00A1468C"/>
    <w:rsid w:val="00A1793C"/>
    <w:rsid w:val="00A20DAD"/>
    <w:rsid w:val="00A21F99"/>
    <w:rsid w:val="00A2768D"/>
    <w:rsid w:val="00A47390"/>
    <w:rsid w:val="00A473E1"/>
    <w:rsid w:val="00A503EF"/>
    <w:rsid w:val="00A5260D"/>
    <w:rsid w:val="00A61C12"/>
    <w:rsid w:val="00A62F8C"/>
    <w:rsid w:val="00A636AB"/>
    <w:rsid w:val="00A70B3B"/>
    <w:rsid w:val="00A92A0B"/>
    <w:rsid w:val="00AA3B69"/>
    <w:rsid w:val="00AB0B14"/>
    <w:rsid w:val="00AB33AB"/>
    <w:rsid w:val="00AB7D09"/>
    <w:rsid w:val="00AC0593"/>
    <w:rsid w:val="00AC3182"/>
    <w:rsid w:val="00AD2DAA"/>
    <w:rsid w:val="00AD5285"/>
    <w:rsid w:val="00AD6890"/>
    <w:rsid w:val="00AE1D88"/>
    <w:rsid w:val="00AE5625"/>
    <w:rsid w:val="00B164B1"/>
    <w:rsid w:val="00B37C86"/>
    <w:rsid w:val="00B427B7"/>
    <w:rsid w:val="00B43C76"/>
    <w:rsid w:val="00B4712F"/>
    <w:rsid w:val="00B507BD"/>
    <w:rsid w:val="00B52759"/>
    <w:rsid w:val="00B54F0C"/>
    <w:rsid w:val="00B60962"/>
    <w:rsid w:val="00B609C1"/>
    <w:rsid w:val="00B60E41"/>
    <w:rsid w:val="00B63017"/>
    <w:rsid w:val="00B63EE3"/>
    <w:rsid w:val="00B6791E"/>
    <w:rsid w:val="00B729D4"/>
    <w:rsid w:val="00B7683F"/>
    <w:rsid w:val="00B839DC"/>
    <w:rsid w:val="00B853BE"/>
    <w:rsid w:val="00B87384"/>
    <w:rsid w:val="00B916B2"/>
    <w:rsid w:val="00BB21F1"/>
    <w:rsid w:val="00BC54F0"/>
    <w:rsid w:val="00BC61AD"/>
    <w:rsid w:val="00BD49CA"/>
    <w:rsid w:val="00BE05E6"/>
    <w:rsid w:val="00C04403"/>
    <w:rsid w:val="00C067D5"/>
    <w:rsid w:val="00C111AD"/>
    <w:rsid w:val="00C117FD"/>
    <w:rsid w:val="00C1453C"/>
    <w:rsid w:val="00C15F87"/>
    <w:rsid w:val="00C223F8"/>
    <w:rsid w:val="00C42B34"/>
    <w:rsid w:val="00C56B65"/>
    <w:rsid w:val="00C66C75"/>
    <w:rsid w:val="00C6748C"/>
    <w:rsid w:val="00C6749F"/>
    <w:rsid w:val="00C72F2F"/>
    <w:rsid w:val="00C74203"/>
    <w:rsid w:val="00C860AF"/>
    <w:rsid w:val="00C87E37"/>
    <w:rsid w:val="00C93490"/>
    <w:rsid w:val="00C93C3A"/>
    <w:rsid w:val="00CA10FA"/>
    <w:rsid w:val="00CA1534"/>
    <w:rsid w:val="00CA37EA"/>
    <w:rsid w:val="00CA41E5"/>
    <w:rsid w:val="00CA760A"/>
    <w:rsid w:val="00CB3B0D"/>
    <w:rsid w:val="00CD439D"/>
    <w:rsid w:val="00CD4575"/>
    <w:rsid w:val="00CD7CE8"/>
    <w:rsid w:val="00CE11E4"/>
    <w:rsid w:val="00CE4923"/>
    <w:rsid w:val="00CE54E2"/>
    <w:rsid w:val="00CE5B85"/>
    <w:rsid w:val="00CE6823"/>
    <w:rsid w:val="00CF0038"/>
    <w:rsid w:val="00CF13F2"/>
    <w:rsid w:val="00CF44EE"/>
    <w:rsid w:val="00CF6CAA"/>
    <w:rsid w:val="00CF7A1E"/>
    <w:rsid w:val="00D003FA"/>
    <w:rsid w:val="00D02AD8"/>
    <w:rsid w:val="00D030FD"/>
    <w:rsid w:val="00D06AD8"/>
    <w:rsid w:val="00D177D6"/>
    <w:rsid w:val="00D17AC7"/>
    <w:rsid w:val="00D21ACA"/>
    <w:rsid w:val="00D25EA6"/>
    <w:rsid w:val="00D31DE6"/>
    <w:rsid w:val="00D42C31"/>
    <w:rsid w:val="00D439AA"/>
    <w:rsid w:val="00D45E66"/>
    <w:rsid w:val="00D5266E"/>
    <w:rsid w:val="00D5542B"/>
    <w:rsid w:val="00D567C2"/>
    <w:rsid w:val="00D60CB9"/>
    <w:rsid w:val="00D61D0F"/>
    <w:rsid w:val="00D74AE2"/>
    <w:rsid w:val="00D75BC4"/>
    <w:rsid w:val="00D916E2"/>
    <w:rsid w:val="00DA1ACC"/>
    <w:rsid w:val="00DC0429"/>
    <w:rsid w:val="00DC6116"/>
    <w:rsid w:val="00DD2771"/>
    <w:rsid w:val="00DD58A1"/>
    <w:rsid w:val="00DD5A3D"/>
    <w:rsid w:val="00DD7C71"/>
    <w:rsid w:val="00DE18C0"/>
    <w:rsid w:val="00DE3A0D"/>
    <w:rsid w:val="00DE6B62"/>
    <w:rsid w:val="00DF3256"/>
    <w:rsid w:val="00DF6623"/>
    <w:rsid w:val="00DF6BED"/>
    <w:rsid w:val="00E009A2"/>
    <w:rsid w:val="00E01CFF"/>
    <w:rsid w:val="00E02EFC"/>
    <w:rsid w:val="00E12A16"/>
    <w:rsid w:val="00E209CE"/>
    <w:rsid w:val="00E306D4"/>
    <w:rsid w:val="00E35C77"/>
    <w:rsid w:val="00E40D16"/>
    <w:rsid w:val="00E44177"/>
    <w:rsid w:val="00E4799F"/>
    <w:rsid w:val="00E52CBB"/>
    <w:rsid w:val="00E56538"/>
    <w:rsid w:val="00E609D5"/>
    <w:rsid w:val="00E74255"/>
    <w:rsid w:val="00E83D1F"/>
    <w:rsid w:val="00E83F6A"/>
    <w:rsid w:val="00E850F0"/>
    <w:rsid w:val="00E9232B"/>
    <w:rsid w:val="00EA7168"/>
    <w:rsid w:val="00EB34F3"/>
    <w:rsid w:val="00EB4D22"/>
    <w:rsid w:val="00EB64E3"/>
    <w:rsid w:val="00EC1E64"/>
    <w:rsid w:val="00ED16CF"/>
    <w:rsid w:val="00ED2081"/>
    <w:rsid w:val="00ED2A11"/>
    <w:rsid w:val="00EE05BD"/>
    <w:rsid w:val="00EE24FB"/>
    <w:rsid w:val="00EE4192"/>
    <w:rsid w:val="00EE4C70"/>
    <w:rsid w:val="00EF0213"/>
    <w:rsid w:val="00EF6844"/>
    <w:rsid w:val="00F07F44"/>
    <w:rsid w:val="00F1128B"/>
    <w:rsid w:val="00F156DE"/>
    <w:rsid w:val="00F17EA5"/>
    <w:rsid w:val="00F25016"/>
    <w:rsid w:val="00F271E7"/>
    <w:rsid w:val="00F31836"/>
    <w:rsid w:val="00F31DB0"/>
    <w:rsid w:val="00F344FE"/>
    <w:rsid w:val="00F53597"/>
    <w:rsid w:val="00F55F59"/>
    <w:rsid w:val="00F61364"/>
    <w:rsid w:val="00F705DE"/>
    <w:rsid w:val="00F70886"/>
    <w:rsid w:val="00F71D60"/>
    <w:rsid w:val="00F73C0D"/>
    <w:rsid w:val="00F73D20"/>
    <w:rsid w:val="00F83893"/>
    <w:rsid w:val="00F87432"/>
    <w:rsid w:val="00F9167C"/>
    <w:rsid w:val="00F94AE5"/>
    <w:rsid w:val="00FA11E2"/>
    <w:rsid w:val="00FA6855"/>
    <w:rsid w:val="00FA6C13"/>
    <w:rsid w:val="00FA77E4"/>
    <w:rsid w:val="00FC019C"/>
    <w:rsid w:val="00FC1E92"/>
    <w:rsid w:val="00FC43F0"/>
    <w:rsid w:val="00FC66D0"/>
    <w:rsid w:val="00FD78C4"/>
    <w:rsid w:val="00FE440E"/>
    <w:rsid w:val="00FE6209"/>
    <w:rsid w:val="00FF42B0"/>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DACA28E"/>
  <w15:docId w15:val="{5FC0E943-3AB4-477E-8316-82386D92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1751"/>
    <w:rPr>
      <w:rFonts w:ascii="Calibri" w:hAnsi="Calibri"/>
      <w:sz w:val="22"/>
      <w:szCs w:val="24"/>
    </w:rPr>
  </w:style>
  <w:style w:type="paragraph" w:styleId="Kop1">
    <w:name w:val="heading 1"/>
    <w:basedOn w:val="Standaard"/>
    <w:next w:val="Standaard"/>
    <w:link w:val="Kop1Char"/>
    <w:autoRedefine/>
    <w:uiPriority w:val="9"/>
    <w:qFormat/>
    <w:rsid w:val="000E0C16"/>
    <w:pPr>
      <w:jc w:val="center"/>
      <w:outlineLvl w:val="0"/>
    </w:pPr>
    <w:rPr>
      <w:rFonts w:cs="Calibri"/>
      <w:b/>
      <w:caps/>
      <w:sz w:val="26"/>
      <w:szCs w:val="26"/>
      <w:lang w:val="nl-BE"/>
    </w:rPr>
  </w:style>
  <w:style w:type="paragraph" w:styleId="Kop3">
    <w:name w:val="heading 3"/>
    <w:basedOn w:val="Standaard"/>
    <w:next w:val="Standaard"/>
    <w:link w:val="Kop3Char"/>
    <w:uiPriority w:val="9"/>
    <w:semiHidden/>
    <w:unhideWhenUsed/>
    <w:qFormat/>
    <w:rsid w:val="002C286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805D7"/>
    <w:rPr>
      <w:color w:val="0000FF"/>
      <w:u w:val="single"/>
    </w:rPr>
  </w:style>
  <w:style w:type="table" w:styleId="Tabelraster">
    <w:name w:val="Table Grid"/>
    <w:basedOn w:val="Standaardtabel"/>
    <w:rsid w:val="0068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ED16CF"/>
    <w:pPr>
      <w:tabs>
        <w:tab w:val="center" w:pos="4320"/>
        <w:tab w:val="right" w:pos="8640"/>
      </w:tabs>
    </w:pPr>
  </w:style>
  <w:style w:type="paragraph" w:styleId="Voettekst">
    <w:name w:val="footer"/>
    <w:basedOn w:val="Standaard"/>
    <w:link w:val="VoettekstChar"/>
    <w:uiPriority w:val="99"/>
    <w:rsid w:val="00ED16CF"/>
    <w:pPr>
      <w:tabs>
        <w:tab w:val="center" w:pos="4320"/>
        <w:tab w:val="right" w:pos="8640"/>
      </w:tabs>
    </w:pPr>
  </w:style>
  <w:style w:type="paragraph" w:styleId="Ballontekst">
    <w:name w:val="Balloon Text"/>
    <w:basedOn w:val="Standaard"/>
    <w:semiHidden/>
    <w:rsid w:val="000B2B7C"/>
    <w:rPr>
      <w:rFonts w:ascii="Tahoma" w:hAnsi="Tahoma" w:cs="Tahoma"/>
      <w:sz w:val="16"/>
      <w:szCs w:val="16"/>
    </w:rPr>
  </w:style>
  <w:style w:type="character" w:customStyle="1" w:styleId="VoettekstChar">
    <w:name w:val="Voettekst Char"/>
    <w:link w:val="Voettekst"/>
    <w:uiPriority w:val="99"/>
    <w:rsid w:val="00D02AD8"/>
    <w:rPr>
      <w:sz w:val="24"/>
      <w:szCs w:val="24"/>
    </w:rPr>
  </w:style>
  <w:style w:type="paragraph" w:customStyle="1" w:styleId="Referentie">
    <w:name w:val="Referentie"/>
    <w:basedOn w:val="Standaard"/>
    <w:rsid w:val="00146BF6"/>
    <w:pPr>
      <w:ind w:left="-851"/>
      <w:jc w:val="both"/>
    </w:pPr>
    <w:rPr>
      <w:szCs w:val="20"/>
      <w:lang w:val="nl-NL"/>
    </w:rPr>
  </w:style>
  <w:style w:type="paragraph" w:customStyle="1" w:styleId="Betreft">
    <w:name w:val="Betreft"/>
    <w:basedOn w:val="Standaard"/>
    <w:rsid w:val="00146BF6"/>
    <w:pPr>
      <w:ind w:left="851" w:hanging="851"/>
      <w:jc w:val="both"/>
    </w:pPr>
    <w:rPr>
      <w:b/>
      <w:i/>
      <w:szCs w:val="20"/>
      <w:lang w:val="nl-NL"/>
    </w:rPr>
  </w:style>
  <w:style w:type="character" w:styleId="Tekstvantijdelijkeaanduiding">
    <w:name w:val="Placeholder Text"/>
    <w:basedOn w:val="Standaardalinea-lettertype"/>
    <w:uiPriority w:val="99"/>
    <w:semiHidden/>
    <w:rsid w:val="004A369D"/>
    <w:rPr>
      <w:color w:val="000000"/>
    </w:rPr>
  </w:style>
  <w:style w:type="paragraph" w:styleId="Lijstalinea">
    <w:name w:val="List Paragraph"/>
    <w:basedOn w:val="Standaard"/>
    <w:uiPriority w:val="34"/>
    <w:qFormat/>
    <w:rsid w:val="006F234E"/>
    <w:pPr>
      <w:ind w:left="720"/>
      <w:contextualSpacing/>
    </w:pPr>
  </w:style>
  <w:style w:type="paragraph" w:styleId="Voetnoottekst">
    <w:name w:val="footnote text"/>
    <w:aliases w:val="Footnote Text Char2,Footnote Text Char11,Footnote Text Char3,Footnote Text Char4,Footnote Text Char5,Footnote Text Char6,Footnote Text Char12,Footnote Text Char21,Footnote Text Char31,Footnote New,C,ARM footnote Text"/>
    <w:basedOn w:val="Standaard"/>
    <w:link w:val="VoetnoottekstChar"/>
    <w:semiHidden/>
    <w:unhideWhenUsed/>
    <w:rsid w:val="006349A3"/>
    <w:rPr>
      <w:sz w:val="20"/>
      <w:szCs w:val="20"/>
    </w:rPr>
  </w:style>
  <w:style w:type="character" w:customStyle="1" w:styleId="VoetnoottekstChar">
    <w:name w:val="Voetnoottekst Char"/>
    <w:aliases w:val="Footnote Text Char2 Char,Footnote Text Char11 Char,Footnote Text Char3 Char,Footnote Text Char4 Char,Footnote Text Char5 Char,Footnote Text Char6 Char,Footnote Text Char12 Char,Footnote Text Char21 Char,Footnote Text Char31 Char"/>
    <w:basedOn w:val="Standaardalinea-lettertype"/>
    <w:link w:val="Voetnoottekst"/>
    <w:semiHidden/>
    <w:rsid w:val="006349A3"/>
    <w:rPr>
      <w:rFonts w:ascii="Calibri" w:hAnsi="Calibri"/>
    </w:rPr>
  </w:style>
  <w:style w:type="character" w:styleId="Voetnootmarkering">
    <w:name w:val="footnote reference"/>
    <w:aliases w:val="Footnote reference number,Footnote symbol,note TESI,Document Title Char1,Heading 2 Char1 Char2,Heading 2 Char Char1 Char2,Chapter Headings Char Char Char2,Heading 2 Char Char Char Char1 Char2,Heading 2 Char Char Char1 Char2"/>
    <w:basedOn w:val="Standaardalinea-lettertype"/>
    <w:uiPriority w:val="99"/>
    <w:unhideWhenUsed/>
    <w:rsid w:val="006349A3"/>
    <w:rPr>
      <w:vertAlign w:val="superscript"/>
    </w:rPr>
  </w:style>
  <w:style w:type="character" w:customStyle="1" w:styleId="Kop1Char">
    <w:name w:val="Kop 1 Char"/>
    <w:basedOn w:val="Standaardalinea-lettertype"/>
    <w:link w:val="Kop1"/>
    <w:uiPriority w:val="9"/>
    <w:rsid w:val="000E0C16"/>
    <w:rPr>
      <w:rFonts w:ascii="Calibri" w:hAnsi="Calibri" w:cs="Calibri"/>
      <w:b/>
      <w:caps/>
      <w:sz w:val="26"/>
      <w:szCs w:val="26"/>
      <w:lang w:val="nl-BE"/>
    </w:rPr>
  </w:style>
  <w:style w:type="paragraph" w:styleId="Inhopg1">
    <w:name w:val="toc 1"/>
    <w:basedOn w:val="Standaard"/>
    <w:next w:val="Standaard"/>
    <w:autoRedefine/>
    <w:uiPriority w:val="39"/>
    <w:unhideWhenUsed/>
    <w:rsid w:val="00973036"/>
    <w:pPr>
      <w:numPr>
        <w:numId w:val="4"/>
      </w:numPr>
      <w:tabs>
        <w:tab w:val="right" w:leader="dot" w:pos="9175"/>
      </w:tabs>
      <w:spacing w:after="100"/>
    </w:pPr>
    <w:rPr>
      <w:noProof/>
      <w:lang w:val="nl-BE"/>
    </w:rPr>
  </w:style>
  <w:style w:type="character" w:styleId="Verwijzingopmerking">
    <w:name w:val="annotation reference"/>
    <w:basedOn w:val="Standaardalinea-lettertype"/>
    <w:uiPriority w:val="99"/>
    <w:semiHidden/>
    <w:unhideWhenUsed/>
    <w:rsid w:val="009B16DD"/>
    <w:rPr>
      <w:sz w:val="16"/>
      <w:szCs w:val="16"/>
    </w:rPr>
  </w:style>
  <w:style w:type="paragraph" w:styleId="Tekstopmerking">
    <w:name w:val="annotation text"/>
    <w:basedOn w:val="Standaard"/>
    <w:link w:val="TekstopmerkingChar"/>
    <w:uiPriority w:val="99"/>
    <w:semiHidden/>
    <w:unhideWhenUsed/>
    <w:rsid w:val="009B16DD"/>
    <w:rPr>
      <w:sz w:val="20"/>
      <w:szCs w:val="20"/>
    </w:rPr>
  </w:style>
  <w:style w:type="character" w:customStyle="1" w:styleId="TekstopmerkingChar">
    <w:name w:val="Tekst opmerking Char"/>
    <w:basedOn w:val="Standaardalinea-lettertype"/>
    <w:link w:val="Tekstopmerking"/>
    <w:uiPriority w:val="99"/>
    <w:semiHidden/>
    <w:rsid w:val="009B16DD"/>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9B16DD"/>
    <w:rPr>
      <w:b/>
      <w:bCs/>
    </w:rPr>
  </w:style>
  <w:style w:type="character" w:customStyle="1" w:styleId="OnderwerpvanopmerkingChar">
    <w:name w:val="Onderwerp van opmerking Char"/>
    <w:basedOn w:val="TekstopmerkingChar"/>
    <w:link w:val="Onderwerpvanopmerking"/>
    <w:uiPriority w:val="99"/>
    <w:semiHidden/>
    <w:rsid w:val="009B16DD"/>
    <w:rPr>
      <w:rFonts w:ascii="Calibri" w:hAnsi="Calibri"/>
      <w:b/>
      <w:bCs/>
    </w:rPr>
  </w:style>
  <w:style w:type="character" w:customStyle="1" w:styleId="Kop3Char">
    <w:name w:val="Kop 3 Char"/>
    <w:basedOn w:val="Standaardalinea-lettertype"/>
    <w:link w:val="Kop3"/>
    <w:uiPriority w:val="9"/>
    <w:semiHidden/>
    <w:rsid w:val="002C286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My%20Documents\Sjablonen\Digitaal%20briefhoofd%20Apen%20NL-FR-DU.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D59D0-4B6A-4E17-91D2-F6EBB4B70142}"/>
</file>

<file path=customXml/itemProps2.xml><?xml version="1.0" encoding="utf-8"?>
<ds:datastoreItem xmlns:ds="http://schemas.openxmlformats.org/officeDocument/2006/customXml" ds:itemID="{D3F55D06-33AC-4718-BADC-AEB48B3CA601}"/>
</file>

<file path=customXml/itemProps3.xml><?xml version="1.0" encoding="utf-8"?>
<ds:datastoreItem xmlns:ds="http://schemas.openxmlformats.org/officeDocument/2006/customXml" ds:itemID="{9A5928D1-7E13-4790-8203-AF73C44E68CB}"/>
</file>

<file path=customXml/itemProps4.xml><?xml version="1.0" encoding="utf-8"?>
<ds:datastoreItem xmlns:ds="http://schemas.openxmlformats.org/officeDocument/2006/customXml" ds:itemID="{712A89D5-0A6A-4116-87CE-1B20DE2B966E}"/>
</file>

<file path=customXml/itemProps5.xml><?xml version="1.0" encoding="utf-8"?>
<ds:datastoreItem xmlns:ds="http://schemas.openxmlformats.org/officeDocument/2006/customXml" ds:itemID="{FB1BC5B1-6512-43F9-B6D8-C63C6A0311E2}"/>
</file>

<file path=docProps/app.xml><?xml version="1.0" encoding="utf-8"?>
<Properties xmlns="http://schemas.openxmlformats.org/officeDocument/2006/extended-properties" xmlns:vt="http://schemas.openxmlformats.org/officeDocument/2006/docPropsVTypes">
  <Template>Digitaal briefhoofd Apen NL-FR-DU.dotx</Template>
  <TotalTime>0</TotalTime>
  <Pages>11</Pages>
  <Words>3734</Words>
  <Characters>20543</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MAPI NV</Company>
  <LinksUpToDate>false</LinksUpToDate>
  <CharactersWithSpaces>24229</CharactersWithSpaces>
  <SharedDoc>false</SharedDoc>
  <HLinks>
    <vt:vector size="6" baseType="variant">
      <vt:variant>
        <vt:i4>6422538</vt:i4>
      </vt:variant>
      <vt:variant>
        <vt:i4>3</vt:i4>
      </vt:variant>
      <vt:variant>
        <vt:i4>0</vt:i4>
      </vt:variant>
      <vt:variant>
        <vt:i4>5</vt:i4>
      </vt:variant>
      <vt:variant>
        <vt:lpwstr>mailto:b.callens@callens.be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Bekkers</dc:creator>
  <cp:lastModifiedBy>Laplasse Jan</cp:lastModifiedBy>
  <cp:revision>2</cp:revision>
  <cp:lastPrinted>2018-02-16T08:16:00Z</cp:lastPrinted>
  <dcterms:created xsi:type="dcterms:W3CDTF">2018-03-02T14:11:00Z</dcterms:created>
  <dcterms:modified xsi:type="dcterms:W3CDTF">2018-03-02T14:11:00Z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