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119"/>
        <w:gridCol w:w="2268"/>
        <w:gridCol w:w="2409"/>
      </w:tblGrid>
      <w:tr w:rsidR="002E7E6B" w:rsidRPr="009521DB" w:rsidTr="002E7E6B">
        <w:trPr>
          <w:trHeight w:val="353"/>
        </w:trPr>
        <w:tc>
          <w:tcPr>
            <w:tcW w:w="5812" w:type="dxa"/>
            <w:shd w:val="clear" w:color="auto" w:fill="auto"/>
          </w:tcPr>
          <w:p w:rsidR="002E7E6B" w:rsidRPr="009521DB" w:rsidRDefault="002E7E6B" w:rsidP="002E7E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 xml:space="preserve">Nom du client </w:t>
            </w:r>
          </w:p>
        </w:tc>
        <w:tc>
          <w:tcPr>
            <w:tcW w:w="3119" w:type="dxa"/>
            <w:shd w:val="clear" w:color="auto" w:fill="auto"/>
          </w:tcPr>
          <w:p w:rsidR="002E7E6B" w:rsidRPr="009521DB" w:rsidRDefault="002E7E6B" w:rsidP="002E7E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</w:tcPr>
          <w:p w:rsidR="002E7E6B" w:rsidRPr="009521DB" w:rsidRDefault="00076E31" w:rsidP="002E7E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fr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E</w:t>
            </w:r>
            <w:r w:rsidR="002E7E6B"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xercice</w:t>
            </w:r>
          </w:p>
        </w:tc>
        <w:tc>
          <w:tcPr>
            <w:tcW w:w="2409" w:type="dxa"/>
            <w:shd w:val="clear" w:color="auto" w:fill="auto"/>
          </w:tcPr>
          <w:p w:rsidR="002E7E6B" w:rsidRPr="009521DB" w:rsidRDefault="002E7E6B" w:rsidP="002E7E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fr-BE" w:eastAsia="nl-BE"/>
              </w:rPr>
            </w:pPr>
          </w:p>
        </w:tc>
      </w:tr>
      <w:tr w:rsidR="002E7E6B" w:rsidRPr="009521DB" w:rsidTr="002E7E6B">
        <w:tc>
          <w:tcPr>
            <w:tcW w:w="5812" w:type="dxa"/>
            <w:shd w:val="clear" w:color="auto" w:fill="auto"/>
          </w:tcPr>
          <w:p w:rsidR="002E7E6B" w:rsidRPr="009521DB" w:rsidRDefault="002E7E6B" w:rsidP="002E7E6B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Sujet</w:t>
            </w:r>
          </w:p>
        </w:tc>
        <w:tc>
          <w:tcPr>
            <w:tcW w:w="7796" w:type="dxa"/>
            <w:gridSpan w:val="3"/>
            <w:shd w:val="clear" w:color="auto" w:fill="BFBFBF"/>
          </w:tcPr>
          <w:p w:rsidR="002E7E6B" w:rsidRPr="009521DB" w:rsidRDefault="007D2BA3" w:rsidP="002E7E6B">
            <w:pPr>
              <w:tabs>
                <w:tab w:val="left" w:pos="7920"/>
              </w:tabs>
              <w:spacing w:before="60" w:after="60" w:line="240" w:lineRule="auto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</w:pPr>
            <w:r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  <w:t>C</w:t>
            </w:r>
            <w:r w:rsidR="00A001E2"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fr-BE" w:eastAsia="nl-BE"/>
              </w:rPr>
              <w:t>ONSEIL D’ENTREPRISE</w:t>
            </w:r>
          </w:p>
        </w:tc>
      </w:tr>
    </w:tbl>
    <w:p w:rsidR="002E7E6B" w:rsidRPr="009521DB" w:rsidRDefault="002E7E6B" w:rsidP="002E7E6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BE" w:eastAsia="fr-FR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3"/>
        <w:gridCol w:w="1275"/>
      </w:tblGrid>
      <w:tr w:rsidR="002E7E6B" w:rsidRPr="009521DB" w:rsidTr="002E7E6B">
        <w:tc>
          <w:tcPr>
            <w:tcW w:w="12333" w:type="dxa"/>
            <w:shd w:val="clear" w:color="auto" w:fill="auto"/>
          </w:tcPr>
          <w:p w:rsidR="002E7E6B" w:rsidRPr="009521DB" w:rsidRDefault="002E7E6B" w:rsidP="00A001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 w:eastAsia="fr-FR"/>
              </w:rPr>
            </w:pPr>
            <w:r w:rsidRPr="009521DB">
              <w:rPr>
                <w:rFonts w:ascii="Arial" w:eastAsia="Times New Roman" w:hAnsi="Arial" w:cs="Arial"/>
                <w:b/>
                <w:sz w:val="20"/>
                <w:szCs w:val="20"/>
                <w:lang w:val="fr-BE" w:eastAsia="fr-FR"/>
              </w:rPr>
              <w:t>OBJECTIF</w:t>
            </w:r>
          </w:p>
        </w:tc>
        <w:tc>
          <w:tcPr>
            <w:tcW w:w="1275" w:type="dxa"/>
            <w:shd w:val="clear" w:color="auto" w:fill="auto"/>
          </w:tcPr>
          <w:p w:rsidR="002E7E6B" w:rsidRPr="009521DB" w:rsidRDefault="002E7E6B" w:rsidP="00A001E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 w:eastAsia="fr-FR"/>
              </w:rPr>
            </w:pPr>
            <w:r w:rsidRPr="009521DB">
              <w:rPr>
                <w:rFonts w:ascii="Arial" w:eastAsia="Times New Roman" w:hAnsi="Arial" w:cs="Arial"/>
                <w:b/>
                <w:sz w:val="20"/>
                <w:szCs w:val="20"/>
                <w:lang w:val="fr-BE" w:eastAsia="fr-FR"/>
              </w:rPr>
              <w:t>ISA</w:t>
            </w:r>
          </w:p>
        </w:tc>
      </w:tr>
      <w:tr w:rsidR="002E7E6B" w:rsidRPr="00373910" w:rsidTr="002E7E6B">
        <w:tc>
          <w:tcPr>
            <w:tcW w:w="12333" w:type="dxa"/>
            <w:shd w:val="clear" w:color="auto" w:fill="auto"/>
          </w:tcPr>
          <w:p w:rsidR="002E7E6B" w:rsidRPr="009521DB" w:rsidRDefault="007D2BA3" w:rsidP="00577CE4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2E7E6B">
              <w:rPr>
                <w:rFonts w:ascii="Arial" w:hAnsi="Arial" w:cs="Arial"/>
                <w:sz w:val="20"/>
                <w:szCs w:val="20"/>
                <w:lang w:val="fr-BE"/>
              </w:rPr>
              <w:t xml:space="preserve">a présente check-list a pour objectif de documenter les obligations légales en matière de communication d’informations financières au </w:t>
            </w:r>
            <w:r w:rsidR="00577CE4">
              <w:rPr>
                <w:rFonts w:ascii="Arial" w:hAnsi="Arial" w:cs="Arial"/>
                <w:sz w:val="20"/>
                <w:szCs w:val="20"/>
                <w:lang w:val="fr-BE"/>
              </w:rPr>
              <w:t>c</w:t>
            </w:r>
            <w:r w:rsidR="002E7E6B">
              <w:rPr>
                <w:rFonts w:ascii="Arial" w:hAnsi="Arial" w:cs="Arial"/>
                <w:sz w:val="20"/>
                <w:szCs w:val="20"/>
                <w:lang w:val="fr-BE"/>
              </w:rPr>
              <w:t>onseil d’entreprise telles que prévues par l’arrêté royal du 27 novembre 1973 et le Code des sociétés.</w:t>
            </w:r>
          </w:p>
        </w:tc>
        <w:tc>
          <w:tcPr>
            <w:tcW w:w="1275" w:type="dxa"/>
            <w:shd w:val="clear" w:color="auto" w:fill="auto"/>
          </w:tcPr>
          <w:p w:rsidR="002E7E6B" w:rsidRPr="009521DB" w:rsidRDefault="00373910" w:rsidP="0037391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 w:eastAsia="fr-FR"/>
              </w:rPr>
              <w:t>N/A</w:t>
            </w:r>
          </w:p>
        </w:tc>
      </w:tr>
    </w:tbl>
    <w:p w:rsidR="00527C55" w:rsidRPr="008D5391" w:rsidRDefault="00527C55">
      <w:pPr>
        <w:rPr>
          <w:rFonts w:ascii="Arial" w:hAnsi="Arial" w:cs="Arial"/>
          <w:sz w:val="20"/>
          <w:szCs w:val="20"/>
          <w:lang w:val="fr-BE"/>
        </w:rPr>
      </w:pP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1134"/>
        <w:gridCol w:w="709"/>
        <w:gridCol w:w="1701"/>
        <w:gridCol w:w="425"/>
        <w:gridCol w:w="378"/>
        <w:gridCol w:w="47"/>
        <w:gridCol w:w="379"/>
        <w:gridCol w:w="47"/>
        <w:gridCol w:w="378"/>
        <w:gridCol w:w="47"/>
        <w:gridCol w:w="378"/>
        <w:gridCol w:w="189"/>
        <w:gridCol w:w="709"/>
        <w:gridCol w:w="567"/>
        <w:gridCol w:w="708"/>
      </w:tblGrid>
      <w:tr w:rsidR="008D5391" w:rsidRPr="000D7FAB" w:rsidTr="00373910">
        <w:trPr>
          <w:trHeight w:val="270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Information</w:t>
            </w:r>
          </w:p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disponible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Qualité de</w:t>
            </w:r>
          </w:p>
          <w:p w:rsidR="00AA145A" w:rsidRPr="000D7FAB" w:rsidRDefault="009D6AD5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l’</w:t>
            </w:r>
            <w:r w:rsidR="00AA145A"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information</w:t>
            </w:r>
          </w:p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disponible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Image</w:t>
            </w:r>
          </w:p>
          <w:p w:rsidR="00AA145A" w:rsidRPr="000D7FAB" w:rsidRDefault="00AA145A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BE"/>
              </w:rPr>
              <w:t>fidèle</w:t>
            </w:r>
          </w:p>
        </w:tc>
      </w:tr>
      <w:tr w:rsidR="008D5391" w:rsidRPr="000D7FAB" w:rsidTr="0026026B">
        <w:trPr>
          <w:cantSplit/>
          <w:trHeight w:val="19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D948AE" w:rsidRPr="000D7FAB" w:rsidRDefault="00D948AE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Information de base et annuelle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D948AE" w:rsidRPr="000D7FAB" w:rsidRDefault="009D6AD5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Références à l’</w:t>
            </w:r>
            <w:r w:rsidR="00D948AE"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 xml:space="preserve">arrêté royal 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 xml:space="preserve">  </w:t>
            </w:r>
            <w:r w:rsidR="00D948AE"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27 novembre 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D948AE" w:rsidRPr="0026026B" w:rsidRDefault="00D948AE" w:rsidP="0026026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</w:pPr>
            <w:r w:rsidRP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>Forme</w:t>
            </w:r>
            <w:r w:rsidR="00A001E2" w:rsidRP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>:E</w:t>
            </w:r>
            <w:proofErr w:type="gramEnd"/>
            <w:r w:rsidRP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 xml:space="preserve"> = par écrit</w:t>
            </w:r>
            <w:r w:rsid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 xml:space="preserve">                    </w:t>
            </w:r>
            <w:r w:rsidRPr="002602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BE"/>
              </w:rPr>
              <w:t>O = par oral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D948AE" w:rsidRPr="000D7FAB" w:rsidRDefault="001F60C2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Niveau</w:t>
            </w:r>
            <w:r w:rsidRPr="000D7FAB"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/>
              </w:rPr>
              <w:footnoteReference w:customMarkFollows="1" w:id="1"/>
              <w:t>*</w:t>
            </w:r>
            <w:r w:rsidR="00D948AE"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proofErr w:type="spellStart"/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Certifiable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8D5391" w:rsidRPr="000D7FAB" w:rsidRDefault="008D5391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</w:p>
          <w:p w:rsidR="00D948AE" w:rsidRPr="000D7FAB" w:rsidRDefault="00D948AE" w:rsidP="000D7FA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Méthode de contrôle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Oui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Non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BE"/>
              </w:rPr>
              <w:t>N/A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D948AE" w:rsidRPr="000D7FAB" w:rsidRDefault="009D6AD5" w:rsidP="009D6AD5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B</w:t>
            </w:r>
            <w:r w:rsidR="00D948AE" w:rsidRPr="000D7F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onne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D948AE" w:rsidRPr="000D7FAB" w:rsidRDefault="009D6AD5" w:rsidP="009D6AD5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r-BE"/>
              </w:rPr>
              <w:t>M</w:t>
            </w:r>
            <w:r w:rsidR="00D948AE" w:rsidRPr="000D7FAB">
              <w:rPr>
                <w:rFonts w:ascii="Arial" w:eastAsia="Times New Roman" w:hAnsi="Arial" w:cs="Arial"/>
                <w:b/>
                <w:sz w:val="18"/>
                <w:szCs w:val="18"/>
                <w:lang w:val="fr-BE"/>
              </w:rPr>
              <w:t>odérée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hideMark/>
          </w:tcPr>
          <w:p w:rsidR="00D948AE" w:rsidRPr="000D7FAB" w:rsidRDefault="009D6AD5" w:rsidP="009D6AD5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M</w:t>
            </w:r>
            <w:r w:rsidR="00D948AE" w:rsidRPr="000D7F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auvaise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Oui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btLr"/>
          </w:tcPr>
          <w:p w:rsidR="00D948AE" w:rsidRPr="000D7FAB" w:rsidRDefault="00D948AE" w:rsidP="000D7FAB">
            <w:pPr>
              <w:spacing w:before="60" w:after="6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BE"/>
              </w:rPr>
              <w:t>Non</w:t>
            </w:r>
          </w:p>
        </w:tc>
      </w:tr>
      <w:tr w:rsidR="00AA145A" w:rsidRPr="003965C7" w:rsidTr="00373910">
        <w:trPr>
          <w:trHeight w:val="326"/>
        </w:trPr>
        <w:tc>
          <w:tcPr>
            <w:tcW w:w="1362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:rsidR="00AA145A" w:rsidRPr="009D6AD5" w:rsidRDefault="00AA145A" w:rsidP="00220C1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3" w:hanging="333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INFORMATION DE BASE </w:t>
            </w: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(art</w:t>
            </w:r>
            <w:r w:rsidR="00220C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.</w:t>
            </w: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 xml:space="preserve"> 5-14)</w:t>
            </w: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STATUTS </w:t>
            </w:r>
          </w:p>
        </w:tc>
      </w:tr>
      <w:tr w:rsidR="00D948AE" w:rsidRPr="0083295A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E66AC6" w:rsidP="009D6AD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  <w:r w:rsidR="009D6AD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escription de l’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 juridique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 5,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statuts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D6AD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Copies de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la dernière version coordonnée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des statuts et de tous les changements ultérieurs.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5,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statuts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A781A" w:rsidP="009D6AD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structure de la direction</w:t>
            </w:r>
            <w:r w:rsid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par le b</w:t>
            </w:r>
            <w:r w:rsidR="009D6AD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iais de l’</w:t>
            </w:r>
            <w:r w:rsidR="00AE2C9B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organigramme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ou une description de </w:t>
            </w:r>
            <w:r w:rsid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composition des membres de l’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organe de gestion, ou du comité de direction.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5, 3°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organigramme, comptes annuels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Default="00D948AE" w:rsidP="009D6AD5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Détails des moyens de financement à moyen et à long terme :</w:t>
            </w:r>
          </w:p>
          <w:p w:rsidR="00E436FD" w:rsidRPr="00E436FD" w:rsidRDefault="00E436FD" w:rsidP="00E436F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5, 4°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B42BC8" w:rsidRPr="009D6AD5" w:rsidTr="00B42BC8">
        <w:trPr>
          <w:trHeight w:val="270"/>
        </w:trPr>
        <w:tc>
          <w:tcPr>
            <w:tcW w:w="13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2BC8" w:rsidRPr="009D6AD5" w:rsidRDefault="00B42BC8" w:rsidP="00B42BC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STATUTS </w:t>
            </w: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26F2" w:rsidP="00B42BC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ctions avec la liste de ceux qui en détiennent 5</w:t>
            </w:r>
            <w:r w:rsid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% ou plus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Registre des actionnaires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26F2" w:rsidP="00B42BC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éserves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26F2" w:rsidP="00B42BC8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mprunts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Détails des investissements financiers et des prêts.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5, 4°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Détails de la nature des relations significatives avec les parties liées 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     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(p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ex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.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: contrat achats/ventes, propriété,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etc.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)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5, 5°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Détails de la nature des contrats significatifs avec des tiers (p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ex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.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: </w:t>
            </w:r>
            <w:r w:rsidR="00527C5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contrôle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conjoint</w:t>
            </w:r>
            <w:r w:rsidR="006C50F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, </w:t>
            </w:r>
            <w:r w:rsidR="000D7FAB" w:rsidRPr="000D7FA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fr-BE"/>
              </w:rPr>
              <w:t>joint-ventures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, hypothèque sur une parti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 significative des actifs de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5, 5°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220C1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J/E-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POSITION CONCURRENTIELLE</w:t>
            </w: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Descriptio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 de la position de marché de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 indiquant</w:t>
            </w:r>
            <w:r w:rsidR="00AE50A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liste des principaux concurrents au niveau national ou international, par ligne de produit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les critères concurrentiels (qualité du produit, ventes et après-ventes, coûts différentiels, 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etc.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)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 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point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 vente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6, 3°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principaux achats et engagement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 ventes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4°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contrats, procès-verbaux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1134"/>
        <w:gridCol w:w="709"/>
        <w:gridCol w:w="1701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FE38AC" w:rsidRPr="009D6AD5" w:rsidTr="00220C17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8AC" w:rsidRPr="009D6AD5" w:rsidRDefault="00FE38AC" w:rsidP="00FE38AC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POSITION CONCURRENTIELLE</w:t>
            </w: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accord</w:t>
            </w:r>
            <w:r w:rsid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avec le Ministre des Affaires Economiques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5°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accords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6FD" w:rsidRPr="00E436FD" w:rsidRDefault="00527C55" w:rsidP="00A356F5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canaux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de distributions, techniques de ve</w:t>
            </w:r>
            <w:r w:rsidR="005E5393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ntes, marges de distribution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 6°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42BC8" w:rsidP="00D32E2C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chiffres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affaires sur </w:t>
            </w:r>
            <w:r w:rsid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cinq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ans, avec indication, en % de la part réalisé</w:t>
            </w:r>
            <w:r w:rsidR="005D716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sur le 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marché intérieur, dans l’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UE et dans les </w:t>
            </w:r>
            <w:r w:rsidR="00527C5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pays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tiers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 7°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Non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statistiques des ventes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32E2C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prix de revient et de vente unitaires su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r </w:t>
            </w:r>
            <w:r w:rsid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cinq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ans, par produit ou si ce n’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est pas disponib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le, par unité (possibilité de l’</w:t>
            </w:r>
            <w:r w:rsid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exprimer en pourcentage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)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 8°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B42BC8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position sur le marché intérieur, UE et pays tiers</w:t>
            </w:r>
            <w:r w:rsidR="00B42BC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6, 9°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PRODUCTION ET PRODUCTIVITE </w:t>
            </w: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32E2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Les informations suivantes sur </w:t>
            </w:r>
            <w:r w:rsid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cinq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ans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production exprimée en volume (nombre/poids), valeur et valeur ajoutée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7, 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Non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statistique de production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capacité économique de production et usage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7, 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Non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BE61AF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productivité (p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ex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: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production/heure de travail, production/travailleur)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7, 3°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statistique de production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1134"/>
        <w:gridCol w:w="709"/>
        <w:gridCol w:w="1701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B7139B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STRUCTURE FINANCIERE DE L’</w:t>
            </w:r>
            <w:r w:rsidR="00AE50A6"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ENTITE </w:t>
            </w: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Commentaire explicatif du plan comptable utilisé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8, 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 - E/F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plan comptable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5" w:rsidRPr="000D7FAB" w:rsidRDefault="00D948AE" w:rsidP="00B7139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Analyse de la structure financière basée sur une revue analytique des </w:t>
            </w:r>
            <w:r w:rsidR="005D716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comptes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annuels sur </w:t>
            </w:r>
            <w:r w:rsidR="00B7139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cinq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ans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8, 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 - E/F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comptes annuels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5E5393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BUDGET ET METHODE DE COUT </w:t>
            </w: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E61AF" w:rsidP="00D926F2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M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éthode pour l’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établissement du budget et explication de son utilisation comme outil de direction générale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9, 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communication avec le responsable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méthode de calcul du prix de revient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9, 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26F2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D926F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indications suffisantes concernant la structure des coûts et leur répartition pour perm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ettre au conseil d’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entre</w:t>
            </w:r>
            <w:r w:rsidR="00D926F2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prise de suivre et comprendre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évolution des prix de revient et de ses composantes.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9, 3°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220C17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220C1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FRAIS DE PERSONNEL </w:t>
            </w: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E66AC6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Les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frais de personnel doivent être </w:t>
            </w:r>
            <w:r w:rsidR="00047B3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partag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és entre</w:t>
            </w:r>
            <w:r w:rsidR="00D0561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coûts afférents au service du personnel et au service social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rémunération (ouvriers, employés, management)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charges sociales légales patronales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1134"/>
        <w:gridCol w:w="709"/>
        <w:gridCol w:w="1701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FE38AC" w:rsidRPr="009D6AD5" w:rsidTr="00220C17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38AC" w:rsidRPr="009D6AD5" w:rsidRDefault="00FE38AC" w:rsidP="00FE38AC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FRAIS DE PERSONNEL </w:t>
            </w: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7139B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frais d</w:t>
            </w:r>
            <w:r w:rsidR="004A142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assurances pour les accidents du travail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charges sociales conventionnelles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assurance retraite complémentaire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audit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autres charges sociales et avantages extra-légaux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5E5393" w:rsidP="005E5393">
            <w:pPr>
              <w:spacing w:before="60" w:after="6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Comptes des résultats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1E2" w:rsidRPr="000D7FAB" w:rsidRDefault="009E3F88" w:rsidP="009E3F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Note : l’analyse n’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est pas obligatoire dans la mesure où le résultat aboutirait à une publicité ou une identification des rémunérations de manière individuelle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PERSPECTIVES D’</w:t>
            </w:r>
            <w:r w:rsidR="00AE50A6"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AVENIR  </w:t>
            </w: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Une indication des pe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rspectives du management pour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avenir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couvrant tous les aspects de l’activité de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entité, y compris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les prévisions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concernant son extension future et son financement.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 - E/F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Default="009E3F88" w:rsidP="009E3F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 publicité du budge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t complet n’est pas obligatoire.</w:t>
            </w:r>
          </w:p>
          <w:p w:rsidR="000119BA" w:rsidRPr="000D7FAB" w:rsidRDefault="000119BA" w:rsidP="009E3F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AE50A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RECHERCHE ET DEVELOPPEMENT  </w:t>
            </w: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ommentaires sur les moyens de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 en R&amp;D (interne et externe)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4B4742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dossier d’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audit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ressources (actifs/employés)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9E3F8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objectifs</w:t>
            </w:r>
            <w:r w:rsid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1134"/>
        <w:gridCol w:w="709"/>
        <w:gridCol w:w="1701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B45DB6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lastRenderedPageBreak/>
              <w:t>AIDE PUBLIQUE</w:t>
            </w: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45DB6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liste des aides publiques obtenues, peu importe leur nature.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45DB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45DB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accord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AE50A6" w:rsidRPr="009D6AD5" w:rsidTr="00373910">
        <w:trPr>
          <w:trHeight w:val="270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E50A6" w:rsidRPr="009D6AD5" w:rsidRDefault="008A2C95" w:rsidP="000D7FA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</w:pPr>
            <w:r w:rsidRPr="009D6A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ORGANIGRAMME</w:t>
            </w: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E3F88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Outre l’</w:t>
            </w:r>
            <w:r w:rsidR="008A2C9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organigramme relati</w:t>
            </w:r>
            <w:r w:rsidR="00A02EE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f</w:t>
            </w:r>
            <w:r w:rsidR="008A2C9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à la direction, un organigramme détaillé doit être fourni avec </w:t>
            </w:r>
            <w:r w:rsidR="008A2C95" w:rsidRP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 plan de l’organisation de l’</w:t>
            </w:r>
            <w:r w:rsidR="008A2C95" w:rsidRP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 juridique, indiquant les différents départements</w:t>
            </w:r>
            <w:r w:rsidR="00D948AE" w:rsidRPr="009826A0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05616" w:rsidRPr="0083295A" w:rsidTr="00373910">
        <w:trPr>
          <w:trHeight w:val="285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5616" w:rsidRPr="009E3F88" w:rsidRDefault="00B34F97" w:rsidP="007F657E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333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I</w:t>
            </w:r>
            <w:r w:rsidR="009B679F" w:rsidRPr="009E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NFORMATION</w:t>
            </w:r>
            <w:r w:rsidR="00F602D1" w:rsidRPr="009E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ANNUELLE</w:t>
            </w:r>
            <w:r w:rsidR="00D05616" w:rsidRPr="009E3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D05616" w:rsidRPr="009E3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(art</w:t>
            </w:r>
            <w:r w:rsidR="007F65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.</w:t>
            </w:r>
            <w:r w:rsidR="00D05616" w:rsidRPr="009E3F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 xml:space="preserve"> 15-23)</w:t>
            </w:r>
            <w:r w:rsidR="00D05616" w:rsidRPr="009E3F88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D948AE" w:rsidRPr="005E5393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1A587D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 dossier d’audit contient-il toute l’information annuelle émise depuis la dernière mise à jour de l’information de base</w:t>
            </w:r>
            <w:r w:rsidR="0026026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315D9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L’information a-t-elle été fournie au moins 15 jour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avant la réunion du conseil d’entreprise</w:t>
            </w:r>
            <w:r w:rsidR="0026026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B315D9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48644D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La </w:t>
            </w:r>
            <w:r w:rsidR="00071F9B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ré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union du conseil d’entreprise a-t-elle eu lieu avant l’assemblée générale</w:t>
            </w:r>
            <w:r w:rsidR="0026026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071F9B" w:rsidP="007F657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Si l’entité est une succursale, l’information a-t-elle été </w:t>
            </w:r>
            <w:r w:rsidR="001F60C2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communiquée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dans les 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trois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mois après </w:t>
            </w:r>
            <w:r w:rsidR="00A67B8B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clôture de l’exercice</w:t>
            </w:r>
            <w:r w:rsidR="0026026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4E27E1" w:rsidP="009E3F88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L’information annuelle contient-elle ce qui suit 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9BA" w:rsidRPr="000D7FAB" w:rsidRDefault="00210815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une mise à jour de l’information de base</w:t>
            </w:r>
            <w:r w:rsidR="000119BA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17, 1°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F657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BE"/>
              </w:rPr>
              <w:t>v</w:t>
            </w:r>
            <w:r w:rsidR="00210815" w:rsidRPr="000D7FAB">
              <w:rPr>
                <w:rFonts w:ascii="Arial" w:eastAsia="Times New Roman" w:hAnsi="Arial" w:cs="Arial"/>
                <w:color w:val="000000"/>
                <w:sz w:val="18"/>
                <w:szCs w:val="18"/>
                <w:lang w:val="fr-BE"/>
              </w:rPr>
              <w:t>oir information de base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B34F97">
        <w:trPr>
          <w:trHeight w:val="33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1B0754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les comptes annuels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7E" w:rsidRPr="007F657E" w:rsidRDefault="00B34F97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art. 17, </w:t>
            </w:r>
          </w:p>
          <w:p w:rsidR="00D948AE" w:rsidRPr="00CD6755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  <w:r w:rsidRP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567"/>
        <w:gridCol w:w="284"/>
        <w:gridCol w:w="850"/>
        <w:gridCol w:w="709"/>
        <w:gridCol w:w="1701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FE38AC" w:rsidRPr="0083295A" w:rsidTr="00220C17">
        <w:trPr>
          <w:trHeight w:val="28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E38AC" w:rsidRPr="00FE38AC" w:rsidRDefault="00FE38AC" w:rsidP="007F657E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33" w:hanging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FE3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lastRenderedPageBreak/>
              <w:t xml:space="preserve">INFORMATION ANNUELLE </w:t>
            </w:r>
            <w:r w:rsidRPr="00FE38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(art</w:t>
            </w:r>
            <w:r w:rsidR="007F65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 xml:space="preserve">. </w:t>
            </w:r>
            <w:r w:rsidRPr="00FE38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BE"/>
              </w:rPr>
              <w:t>15-23)</w:t>
            </w:r>
            <w:r w:rsidRPr="00FE38A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D948AE" w:rsidRPr="000D7FAB" w:rsidTr="00CD6755">
        <w:trPr>
          <w:trHeight w:val="4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AB7C05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le rapport de gestion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7E" w:rsidRPr="007F657E" w:rsidRDefault="00D948AE" w:rsidP="007F657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17,</w:t>
            </w:r>
          </w:p>
          <w:p w:rsidR="00D948AE" w:rsidRPr="007F657E" w:rsidRDefault="00D948AE" w:rsidP="007F657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2°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8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CD6755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un rapport sur l’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application, l’</w:t>
            </w:r>
            <w:r w:rsidR="00AB7C0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utilisation et la répercussion dans son entreprise des me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sures fiscales et financières d’</w:t>
            </w:r>
            <w:r w:rsidR="00AB7C0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encouragement prises par les pouvoirs publics, ainsi que sur les mesures prévues par les pouvoirs publics en vue de compenser et de réduire les charges de la sécurité socia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 et les charges sociales de l’</w:t>
            </w:r>
            <w:r w:rsidR="00AB7C05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entité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17, 3°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B2AE8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992F21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les com</w:t>
            </w:r>
            <w:r w:rsidR="00582197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ptes consolidés et le rapport d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582197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gestion sur les comptes consolidés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(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si l’entité est 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soumise à l’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du 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      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6 mars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1990)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17, 4°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5E5393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582197" w:rsidP="00B34F9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616" w:hanging="283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si l’entité fait partie d’un groupe, les </w:t>
            </w:r>
            <w:r w:rsidR="00F36807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comp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tes consolidés ou des extraits relatifs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26026B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FE38AC" w:rsidRDefault="00B34F97" w:rsidP="00FE38A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FE38A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Le chef de l’</w:t>
            </w:r>
            <w:r w:rsidR="00D5132F" w:rsidRPr="00FE38A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entité doit commenter et expliquer les informations fournies sous a, b, et 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18 - 23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/ 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</w:t>
            </w:r>
            <w:r w:rsidR="00DB2AE8"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1B431C" w:rsidRPr="0083295A" w:rsidTr="00373910">
        <w:trPr>
          <w:trHeight w:val="285"/>
        </w:trPr>
        <w:tc>
          <w:tcPr>
            <w:tcW w:w="13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431C" w:rsidRPr="000D7FAB" w:rsidRDefault="00EA7326" w:rsidP="007F657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I</w:t>
            </w:r>
            <w:r w:rsidR="008329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II.</w:t>
            </w:r>
            <w:r w:rsidR="00FE38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  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INFORMATION </w:t>
            </w:r>
            <w:r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PERIODIQUE 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(art</w:t>
            </w:r>
            <w:r w:rsidR="007F6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.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24)</w:t>
            </w:r>
            <w:r w:rsidR="001B431C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</w:tr>
      <w:tr w:rsidR="00D948AE" w:rsidRPr="0083295A" w:rsidTr="00D32E2C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CC4E0A" w:rsidP="007F657E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Un résumé écrit des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informations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a-t-il été f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ourni au moins tous les 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trois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mois</w:t>
            </w:r>
            <w:proofErr w:type="gramStart"/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,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15</w:t>
            </w:r>
            <w:proofErr w:type="gramEnd"/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jours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avant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chaque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réunion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FE38AC" w:rsidRDefault="00FE38AC">
      <w:r>
        <w:br w:type="page"/>
      </w:r>
    </w:p>
    <w:tbl>
      <w:tblPr>
        <w:tblpPr w:leftFromText="180" w:rightFromText="180" w:vertAnchor="text" w:tblpY="1"/>
        <w:tblOverlap w:val="never"/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851"/>
        <w:gridCol w:w="992"/>
        <w:gridCol w:w="709"/>
        <w:gridCol w:w="1559"/>
        <w:gridCol w:w="425"/>
        <w:gridCol w:w="378"/>
        <w:gridCol w:w="426"/>
        <w:gridCol w:w="425"/>
        <w:gridCol w:w="425"/>
        <w:gridCol w:w="898"/>
        <w:gridCol w:w="567"/>
        <w:gridCol w:w="708"/>
      </w:tblGrid>
      <w:tr w:rsidR="001B431C" w:rsidRPr="0083295A" w:rsidTr="00373910">
        <w:trPr>
          <w:trHeight w:val="285"/>
        </w:trPr>
        <w:tc>
          <w:tcPr>
            <w:tcW w:w="13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431C" w:rsidRPr="000D7FAB" w:rsidRDefault="0083295A" w:rsidP="007F657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lastRenderedPageBreak/>
              <w:t>I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.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CD6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INFORMATION </w:t>
            </w:r>
            <w:r w:rsidR="00443F77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OCCASIONELLE 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(art</w:t>
            </w:r>
            <w:r w:rsidR="007F6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>.</w:t>
            </w:r>
            <w:r w:rsidR="001B431C" w:rsidRPr="000D7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BE"/>
              </w:rPr>
              <w:t xml:space="preserve"> 25)</w:t>
            </w:r>
          </w:p>
        </w:tc>
      </w:tr>
      <w:tr w:rsidR="00D948AE" w:rsidRPr="000D7FAB" w:rsidTr="00D32E2C">
        <w:trPr>
          <w:trHeight w:val="10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52C" w:rsidRPr="000D7FAB" w:rsidRDefault="00B34F97" w:rsidP="007F657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="00AE652C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’information </w:t>
            </w:r>
            <w:r w:rsidR="0084313A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occasionnelle doit être fournie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:</w:t>
            </w:r>
          </w:p>
          <w:p w:rsidR="00AE652C" w:rsidRPr="000D7FAB" w:rsidRDefault="0084313A" w:rsidP="007F657E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dès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qu’il</w:t>
            </w:r>
            <w:r w:rsidR="00AE652C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existe un év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</w:t>
            </w:r>
            <w:r w:rsidR="00AE652C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nement qui peut avoir un impact significatif sur l’entité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;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:rsidR="00D948AE" w:rsidRPr="000D7FAB" w:rsidRDefault="0084313A" w:rsidP="00CD6755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dans tous les cas où des </w:t>
            </w:r>
            <w:r w:rsidR="00E66AC6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décisions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internes peuvent avoir un impact significatif sur l’entité</w:t>
            </w:r>
            <w:r w:rsidR="00B34F97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art.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</w:t>
            </w:r>
            <w:r w:rsidR="00DB2AE8"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D32E2C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FE38A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Communication </w:t>
            </w:r>
            <w:r w:rsidR="00E55693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d’un délai de paiement au niveau fiscal ou social</w:t>
            </w:r>
            <w:r w:rsidR="00CD675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  <w:p w:rsidR="007B7586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17/02/</w:t>
            </w:r>
          </w:p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</w:t>
            </w:r>
            <w:r w:rsidR="00DB2AE8"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D32E2C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FE38A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Information </w:t>
            </w:r>
            <w:r w:rsidR="00E55693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relative à la mise en œuvre de nouvelles technologies</w:t>
            </w:r>
            <w:r w:rsidR="00CD6755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86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A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R</w:t>
            </w:r>
            <w:r w:rsidR="007F657E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25/01/</w:t>
            </w:r>
          </w:p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1984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</w:t>
            </w:r>
            <w:r w:rsidR="00DB2AE8"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948AE" w:rsidRPr="000D7FAB" w:rsidTr="00D32E2C">
        <w:trPr>
          <w:trHeight w:val="8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05AB9" w:rsidP="00FE38AC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La communication d’information occasionnelle est accompagnée d’un commentaire sur les effets possibles d’un év</w:t>
            </w:r>
            <w:r w:rsidR="00BE61AF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é</w:t>
            </w: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nement ou d’une décision sur le développement et les activités de l’entité et sur la position des employés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7B7586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="00D948AE"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 xml:space="preserve"> /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D32E2C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No</w:t>
            </w:r>
            <w:r w:rsidR="00DB2AE8" w:rsidRPr="00D32E2C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  <w:r w:rsidRPr="000D7FAB"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E" w:rsidRPr="000D7FAB" w:rsidRDefault="00D948AE" w:rsidP="000D7FA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0729A8" w:rsidRDefault="000729A8">
      <w:pPr>
        <w:rPr>
          <w:rFonts w:ascii="Arial" w:hAnsi="Arial" w:cs="Arial"/>
          <w:sz w:val="20"/>
          <w:szCs w:val="20"/>
          <w:lang w:val="fr-BE"/>
        </w:rPr>
      </w:pPr>
    </w:p>
    <w:p w:rsidR="00CD6755" w:rsidRDefault="00CD6755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119"/>
        <w:gridCol w:w="2268"/>
        <w:gridCol w:w="2409"/>
      </w:tblGrid>
      <w:tr w:rsidR="003965C7" w:rsidRPr="009521DB" w:rsidTr="003965C7">
        <w:trPr>
          <w:trHeight w:val="353"/>
        </w:trPr>
        <w:tc>
          <w:tcPr>
            <w:tcW w:w="5812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Préparé par</w:t>
            </w:r>
          </w:p>
        </w:tc>
        <w:tc>
          <w:tcPr>
            <w:tcW w:w="311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</w:tr>
      <w:tr w:rsidR="003965C7" w:rsidRPr="009521DB" w:rsidTr="003965C7">
        <w:trPr>
          <w:trHeight w:val="352"/>
        </w:trPr>
        <w:tc>
          <w:tcPr>
            <w:tcW w:w="5812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Revu par l’associé responsable de la mission</w:t>
            </w:r>
          </w:p>
        </w:tc>
        <w:tc>
          <w:tcPr>
            <w:tcW w:w="311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</w:tr>
      <w:tr w:rsidR="003965C7" w:rsidRPr="009521DB" w:rsidTr="003965C7">
        <w:trPr>
          <w:trHeight w:val="352"/>
        </w:trPr>
        <w:tc>
          <w:tcPr>
            <w:tcW w:w="5812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 xml:space="preserve">Revu par le responsable contrôle qualité </w:t>
            </w:r>
          </w:p>
        </w:tc>
        <w:tc>
          <w:tcPr>
            <w:tcW w:w="311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  <w:tc>
          <w:tcPr>
            <w:tcW w:w="2268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  <w:r w:rsidRPr="009521DB"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:rsidR="003965C7" w:rsidRPr="009521DB" w:rsidRDefault="003965C7" w:rsidP="003965C7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fr-BE" w:eastAsia="nl-BE"/>
              </w:rPr>
            </w:pPr>
          </w:p>
        </w:tc>
      </w:tr>
    </w:tbl>
    <w:p w:rsidR="003965C7" w:rsidRPr="008D5391" w:rsidRDefault="003965C7">
      <w:pPr>
        <w:rPr>
          <w:rFonts w:ascii="Arial" w:hAnsi="Arial" w:cs="Arial"/>
          <w:sz w:val="20"/>
          <w:szCs w:val="20"/>
          <w:lang w:val="fr-BE"/>
        </w:rPr>
      </w:pPr>
    </w:p>
    <w:sectPr w:rsidR="003965C7" w:rsidRPr="008D5391" w:rsidSect="00AA4595">
      <w:headerReference w:type="default" r:id="rId9"/>
      <w:footerReference w:type="default" r:id="rId10"/>
      <w:pgSz w:w="15840" w:h="12240" w:orient="landscape"/>
      <w:pgMar w:top="590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2E" w:rsidRDefault="004A142E" w:rsidP="002E7E6B">
      <w:pPr>
        <w:spacing w:after="0" w:line="240" w:lineRule="auto"/>
      </w:pPr>
      <w:r>
        <w:separator/>
      </w:r>
    </w:p>
  </w:endnote>
  <w:endnote w:type="continuationSeparator" w:id="0">
    <w:p w:rsidR="004A142E" w:rsidRDefault="004A142E" w:rsidP="002E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86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4A142E" w:rsidRPr="009D6AD5" w:rsidRDefault="004A142E" w:rsidP="003965C7">
            <w:pPr>
              <w:pStyle w:val="Footer"/>
              <w:jc w:val="right"/>
            </w:pPr>
            <w:r w:rsidRPr="009D6A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6AD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D6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5A26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9D6AD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D6AD5">
              <w:rPr>
                <w:rFonts w:ascii="Arial" w:hAnsi="Arial" w:cs="Arial"/>
                <w:sz w:val="18"/>
                <w:szCs w:val="18"/>
              </w:rPr>
              <w:t>/</w:t>
            </w:r>
            <w:r w:rsidRPr="009D6AD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D6AD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D6A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85A26">
              <w:rPr>
                <w:rFonts w:ascii="Arial" w:hAnsi="Arial" w:cs="Arial"/>
                <w:noProof/>
                <w:sz w:val="18"/>
                <w:szCs w:val="18"/>
              </w:rPr>
              <w:t>8</w:t>
            </w:r>
            <w:r w:rsidRPr="009D6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4A142E" w:rsidRDefault="004A1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2E" w:rsidRDefault="004A142E" w:rsidP="002E7E6B">
      <w:pPr>
        <w:spacing w:after="0" w:line="240" w:lineRule="auto"/>
      </w:pPr>
      <w:r>
        <w:separator/>
      </w:r>
    </w:p>
  </w:footnote>
  <w:footnote w:type="continuationSeparator" w:id="0">
    <w:p w:rsidR="004A142E" w:rsidRDefault="004A142E" w:rsidP="002E7E6B">
      <w:pPr>
        <w:spacing w:after="0" w:line="240" w:lineRule="auto"/>
      </w:pPr>
      <w:r>
        <w:continuationSeparator/>
      </w:r>
    </w:p>
  </w:footnote>
  <w:footnote w:id="1">
    <w:p w:rsidR="004A142E" w:rsidRPr="00B42BC8" w:rsidRDefault="004A142E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B42BC8">
        <w:rPr>
          <w:rStyle w:val="FootnoteReference"/>
          <w:rFonts w:ascii="Arial" w:hAnsi="Arial" w:cs="Arial"/>
          <w:sz w:val="16"/>
          <w:szCs w:val="16"/>
          <w:lang w:val="fr-BE"/>
        </w:rPr>
        <w:t>*</w:t>
      </w:r>
      <w:r w:rsidRPr="00B42BC8">
        <w:rPr>
          <w:rFonts w:ascii="Arial" w:hAnsi="Arial" w:cs="Arial"/>
          <w:sz w:val="16"/>
          <w:szCs w:val="16"/>
          <w:lang w:val="fr-BE"/>
        </w:rPr>
        <w:t xml:space="preserve"> </w:t>
      </w:r>
      <w:r w:rsidRPr="00B42BC8">
        <w:rPr>
          <w:rFonts w:ascii="Arial" w:eastAsia="Times New Roman" w:hAnsi="Arial" w:cs="Arial"/>
          <w:bCs/>
          <w:color w:val="000000"/>
          <w:sz w:val="16"/>
          <w:szCs w:val="16"/>
          <w:lang w:val="fr-BE"/>
        </w:rPr>
        <w:t>D = par division / J = par entité juridique / E-F = par entité économique ou financière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2E" w:rsidRDefault="004A142E" w:rsidP="00A001E2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  <w:r w:rsidRPr="002E7E6B">
      <w:rPr>
        <w:rFonts w:ascii="Arial" w:hAnsi="Arial" w:cs="Arial"/>
        <w:b/>
        <w:sz w:val="24"/>
        <w:szCs w:val="24"/>
        <w:lang w:val="fr-BE"/>
      </w:rPr>
      <w:t xml:space="preserve">Check-list D3 </w:t>
    </w:r>
    <w:r>
      <w:rPr>
        <w:rFonts w:ascii="Arial" w:hAnsi="Arial" w:cs="Arial"/>
        <w:b/>
        <w:sz w:val="24"/>
        <w:szCs w:val="24"/>
        <w:lang w:val="fr-BE"/>
      </w:rPr>
      <w:t>−</w:t>
    </w:r>
    <w:r w:rsidRPr="002E7E6B">
      <w:rPr>
        <w:rFonts w:ascii="Arial" w:hAnsi="Arial" w:cs="Arial"/>
        <w:b/>
        <w:sz w:val="24"/>
        <w:szCs w:val="24"/>
        <w:lang w:val="fr-BE"/>
      </w:rPr>
      <w:t xml:space="preserve"> Conseil d’entreprise</w:t>
    </w:r>
  </w:p>
  <w:p w:rsidR="004A142E" w:rsidRDefault="004A142E" w:rsidP="00A001E2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B0E"/>
    <w:multiLevelType w:val="hybridMultilevel"/>
    <w:tmpl w:val="35A689AA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F68A8"/>
    <w:multiLevelType w:val="hybridMultilevel"/>
    <w:tmpl w:val="BE24ECF6"/>
    <w:lvl w:ilvl="0" w:tplc="CEF4025C">
      <w:start w:val="2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9" w:hanging="360"/>
      </w:pPr>
    </w:lvl>
    <w:lvl w:ilvl="2" w:tplc="0813001B" w:tentative="1">
      <w:start w:val="1"/>
      <w:numFmt w:val="lowerRoman"/>
      <w:lvlText w:val="%3."/>
      <w:lvlJc w:val="right"/>
      <w:pPr>
        <w:ind w:left="2569" w:hanging="180"/>
      </w:pPr>
    </w:lvl>
    <w:lvl w:ilvl="3" w:tplc="0813000F" w:tentative="1">
      <w:start w:val="1"/>
      <w:numFmt w:val="decimal"/>
      <w:lvlText w:val="%4."/>
      <w:lvlJc w:val="left"/>
      <w:pPr>
        <w:ind w:left="3289" w:hanging="360"/>
      </w:pPr>
    </w:lvl>
    <w:lvl w:ilvl="4" w:tplc="08130019" w:tentative="1">
      <w:start w:val="1"/>
      <w:numFmt w:val="lowerLetter"/>
      <w:lvlText w:val="%5."/>
      <w:lvlJc w:val="left"/>
      <w:pPr>
        <w:ind w:left="4009" w:hanging="360"/>
      </w:pPr>
    </w:lvl>
    <w:lvl w:ilvl="5" w:tplc="0813001B" w:tentative="1">
      <w:start w:val="1"/>
      <w:numFmt w:val="lowerRoman"/>
      <w:lvlText w:val="%6."/>
      <w:lvlJc w:val="right"/>
      <w:pPr>
        <w:ind w:left="4729" w:hanging="180"/>
      </w:pPr>
    </w:lvl>
    <w:lvl w:ilvl="6" w:tplc="0813000F" w:tentative="1">
      <w:start w:val="1"/>
      <w:numFmt w:val="decimal"/>
      <w:lvlText w:val="%7."/>
      <w:lvlJc w:val="left"/>
      <w:pPr>
        <w:ind w:left="5449" w:hanging="360"/>
      </w:pPr>
    </w:lvl>
    <w:lvl w:ilvl="7" w:tplc="08130019" w:tentative="1">
      <w:start w:val="1"/>
      <w:numFmt w:val="lowerLetter"/>
      <w:lvlText w:val="%8."/>
      <w:lvlJc w:val="left"/>
      <w:pPr>
        <w:ind w:left="6169" w:hanging="360"/>
      </w:pPr>
    </w:lvl>
    <w:lvl w:ilvl="8" w:tplc="0813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271A98"/>
    <w:multiLevelType w:val="hybridMultilevel"/>
    <w:tmpl w:val="EBC8D64A"/>
    <w:lvl w:ilvl="0" w:tplc="8536FCA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2CF"/>
    <w:multiLevelType w:val="hybridMultilevel"/>
    <w:tmpl w:val="1A0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15ACE"/>
    <w:multiLevelType w:val="hybridMultilevel"/>
    <w:tmpl w:val="9F121AAA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5538E"/>
    <w:multiLevelType w:val="hybridMultilevel"/>
    <w:tmpl w:val="6AC8F196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3048B"/>
    <w:multiLevelType w:val="hybridMultilevel"/>
    <w:tmpl w:val="3970E512"/>
    <w:lvl w:ilvl="0" w:tplc="F054809A">
      <w:start w:val="2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9" w:hanging="360"/>
      </w:pPr>
    </w:lvl>
    <w:lvl w:ilvl="2" w:tplc="0813001B" w:tentative="1">
      <w:start w:val="1"/>
      <w:numFmt w:val="lowerRoman"/>
      <w:lvlText w:val="%3."/>
      <w:lvlJc w:val="right"/>
      <w:pPr>
        <w:ind w:left="2569" w:hanging="180"/>
      </w:pPr>
    </w:lvl>
    <w:lvl w:ilvl="3" w:tplc="0813000F" w:tentative="1">
      <w:start w:val="1"/>
      <w:numFmt w:val="decimal"/>
      <w:lvlText w:val="%4."/>
      <w:lvlJc w:val="left"/>
      <w:pPr>
        <w:ind w:left="3289" w:hanging="360"/>
      </w:pPr>
    </w:lvl>
    <w:lvl w:ilvl="4" w:tplc="08130019" w:tentative="1">
      <w:start w:val="1"/>
      <w:numFmt w:val="lowerLetter"/>
      <w:lvlText w:val="%5."/>
      <w:lvlJc w:val="left"/>
      <w:pPr>
        <w:ind w:left="4009" w:hanging="360"/>
      </w:pPr>
    </w:lvl>
    <w:lvl w:ilvl="5" w:tplc="0813001B" w:tentative="1">
      <w:start w:val="1"/>
      <w:numFmt w:val="lowerRoman"/>
      <w:lvlText w:val="%6."/>
      <w:lvlJc w:val="right"/>
      <w:pPr>
        <w:ind w:left="4729" w:hanging="180"/>
      </w:pPr>
    </w:lvl>
    <w:lvl w:ilvl="6" w:tplc="0813000F" w:tentative="1">
      <w:start w:val="1"/>
      <w:numFmt w:val="decimal"/>
      <w:lvlText w:val="%7."/>
      <w:lvlJc w:val="left"/>
      <w:pPr>
        <w:ind w:left="5449" w:hanging="360"/>
      </w:pPr>
    </w:lvl>
    <w:lvl w:ilvl="7" w:tplc="08130019" w:tentative="1">
      <w:start w:val="1"/>
      <w:numFmt w:val="lowerLetter"/>
      <w:lvlText w:val="%8."/>
      <w:lvlJc w:val="left"/>
      <w:pPr>
        <w:ind w:left="6169" w:hanging="360"/>
      </w:pPr>
    </w:lvl>
    <w:lvl w:ilvl="8" w:tplc="0813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49768D9"/>
    <w:multiLevelType w:val="hybridMultilevel"/>
    <w:tmpl w:val="3A040758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D03D7"/>
    <w:multiLevelType w:val="hybridMultilevel"/>
    <w:tmpl w:val="D6342CEA"/>
    <w:lvl w:ilvl="0" w:tplc="57C8087C">
      <w:start w:val="1"/>
      <w:numFmt w:val="upperRoman"/>
      <w:lvlText w:val="%1."/>
      <w:lvlJc w:val="left"/>
      <w:pPr>
        <w:ind w:left="769" w:hanging="72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29" w:hanging="360"/>
      </w:pPr>
    </w:lvl>
    <w:lvl w:ilvl="2" w:tplc="0813001B" w:tentative="1">
      <w:start w:val="1"/>
      <w:numFmt w:val="lowerRoman"/>
      <w:lvlText w:val="%3."/>
      <w:lvlJc w:val="right"/>
      <w:pPr>
        <w:ind w:left="1849" w:hanging="180"/>
      </w:pPr>
    </w:lvl>
    <w:lvl w:ilvl="3" w:tplc="0813000F" w:tentative="1">
      <w:start w:val="1"/>
      <w:numFmt w:val="decimal"/>
      <w:lvlText w:val="%4."/>
      <w:lvlJc w:val="left"/>
      <w:pPr>
        <w:ind w:left="2569" w:hanging="360"/>
      </w:pPr>
    </w:lvl>
    <w:lvl w:ilvl="4" w:tplc="08130019" w:tentative="1">
      <w:start w:val="1"/>
      <w:numFmt w:val="lowerLetter"/>
      <w:lvlText w:val="%5."/>
      <w:lvlJc w:val="left"/>
      <w:pPr>
        <w:ind w:left="3289" w:hanging="360"/>
      </w:pPr>
    </w:lvl>
    <w:lvl w:ilvl="5" w:tplc="0813001B" w:tentative="1">
      <w:start w:val="1"/>
      <w:numFmt w:val="lowerRoman"/>
      <w:lvlText w:val="%6."/>
      <w:lvlJc w:val="right"/>
      <w:pPr>
        <w:ind w:left="4009" w:hanging="180"/>
      </w:pPr>
    </w:lvl>
    <w:lvl w:ilvl="6" w:tplc="0813000F" w:tentative="1">
      <w:start w:val="1"/>
      <w:numFmt w:val="decimal"/>
      <w:lvlText w:val="%7."/>
      <w:lvlJc w:val="left"/>
      <w:pPr>
        <w:ind w:left="4729" w:hanging="360"/>
      </w:pPr>
    </w:lvl>
    <w:lvl w:ilvl="7" w:tplc="08130019" w:tentative="1">
      <w:start w:val="1"/>
      <w:numFmt w:val="lowerLetter"/>
      <w:lvlText w:val="%8."/>
      <w:lvlJc w:val="left"/>
      <w:pPr>
        <w:ind w:left="5449" w:hanging="360"/>
      </w:pPr>
    </w:lvl>
    <w:lvl w:ilvl="8" w:tplc="0813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>
    <w:nsid w:val="35506AEC"/>
    <w:multiLevelType w:val="hybridMultilevel"/>
    <w:tmpl w:val="37320B3E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D458A"/>
    <w:multiLevelType w:val="hybridMultilevel"/>
    <w:tmpl w:val="D6342CEA"/>
    <w:lvl w:ilvl="0" w:tplc="57C8087C">
      <w:start w:val="1"/>
      <w:numFmt w:val="upperRoman"/>
      <w:lvlText w:val="%1."/>
      <w:lvlJc w:val="left"/>
      <w:pPr>
        <w:ind w:left="769" w:hanging="72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29" w:hanging="360"/>
      </w:pPr>
    </w:lvl>
    <w:lvl w:ilvl="2" w:tplc="0813001B" w:tentative="1">
      <w:start w:val="1"/>
      <w:numFmt w:val="lowerRoman"/>
      <w:lvlText w:val="%3."/>
      <w:lvlJc w:val="right"/>
      <w:pPr>
        <w:ind w:left="1849" w:hanging="180"/>
      </w:pPr>
    </w:lvl>
    <w:lvl w:ilvl="3" w:tplc="0813000F" w:tentative="1">
      <w:start w:val="1"/>
      <w:numFmt w:val="decimal"/>
      <w:lvlText w:val="%4."/>
      <w:lvlJc w:val="left"/>
      <w:pPr>
        <w:ind w:left="2569" w:hanging="360"/>
      </w:pPr>
    </w:lvl>
    <w:lvl w:ilvl="4" w:tplc="08130019" w:tentative="1">
      <w:start w:val="1"/>
      <w:numFmt w:val="lowerLetter"/>
      <w:lvlText w:val="%5."/>
      <w:lvlJc w:val="left"/>
      <w:pPr>
        <w:ind w:left="3289" w:hanging="360"/>
      </w:pPr>
    </w:lvl>
    <w:lvl w:ilvl="5" w:tplc="0813001B" w:tentative="1">
      <w:start w:val="1"/>
      <w:numFmt w:val="lowerRoman"/>
      <w:lvlText w:val="%6."/>
      <w:lvlJc w:val="right"/>
      <w:pPr>
        <w:ind w:left="4009" w:hanging="180"/>
      </w:pPr>
    </w:lvl>
    <w:lvl w:ilvl="6" w:tplc="0813000F" w:tentative="1">
      <w:start w:val="1"/>
      <w:numFmt w:val="decimal"/>
      <w:lvlText w:val="%7."/>
      <w:lvlJc w:val="left"/>
      <w:pPr>
        <w:ind w:left="4729" w:hanging="360"/>
      </w:pPr>
    </w:lvl>
    <w:lvl w:ilvl="7" w:tplc="08130019" w:tentative="1">
      <w:start w:val="1"/>
      <w:numFmt w:val="lowerLetter"/>
      <w:lvlText w:val="%8."/>
      <w:lvlJc w:val="left"/>
      <w:pPr>
        <w:ind w:left="5449" w:hanging="360"/>
      </w:pPr>
    </w:lvl>
    <w:lvl w:ilvl="8" w:tplc="0813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3EB72708"/>
    <w:multiLevelType w:val="hybridMultilevel"/>
    <w:tmpl w:val="0AC22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96D40"/>
    <w:multiLevelType w:val="hybridMultilevel"/>
    <w:tmpl w:val="D6342CEA"/>
    <w:lvl w:ilvl="0" w:tplc="57C8087C">
      <w:start w:val="1"/>
      <w:numFmt w:val="upperRoman"/>
      <w:lvlText w:val="%1."/>
      <w:lvlJc w:val="left"/>
      <w:pPr>
        <w:ind w:left="769" w:hanging="72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29" w:hanging="360"/>
      </w:pPr>
    </w:lvl>
    <w:lvl w:ilvl="2" w:tplc="0813001B" w:tentative="1">
      <w:start w:val="1"/>
      <w:numFmt w:val="lowerRoman"/>
      <w:lvlText w:val="%3."/>
      <w:lvlJc w:val="right"/>
      <w:pPr>
        <w:ind w:left="1849" w:hanging="180"/>
      </w:pPr>
    </w:lvl>
    <w:lvl w:ilvl="3" w:tplc="0813000F" w:tentative="1">
      <w:start w:val="1"/>
      <w:numFmt w:val="decimal"/>
      <w:lvlText w:val="%4."/>
      <w:lvlJc w:val="left"/>
      <w:pPr>
        <w:ind w:left="2569" w:hanging="360"/>
      </w:pPr>
    </w:lvl>
    <w:lvl w:ilvl="4" w:tplc="08130019" w:tentative="1">
      <w:start w:val="1"/>
      <w:numFmt w:val="lowerLetter"/>
      <w:lvlText w:val="%5."/>
      <w:lvlJc w:val="left"/>
      <w:pPr>
        <w:ind w:left="3289" w:hanging="360"/>
      </w:pPr>
    </w:lvl>
    <w:lvl w:ilvl="5" w:tplc="0813001B" w:tentative="1">
      <w:start w:val="1"/>
      <w:numFmt w:val="lowerRoman"/>
      <w:lvlText w:val="%6."/>
      <w:lvlJc w:val="right"/>
      <w:pPr>
        <w:ind w:left="4009" w:hanging="180"/>
      </w:pPr>
    </w:lvl>
    <w:lvl w:ilvl="6" w:tplc="0813000F" w:tentative="1">
      <w:start w:val="1"/>
      <w:numFmt w:val="decimal"/>
      <w:lvlText w:val="%7."/>
      <w:lvlJc w:val="left"/>
      <w:pPr>
        <w:ind w:left="4729" w:hanging="360"/>
      </w:pPr>
    </w:lvl>
    <w:lvl w:ilvl="7" w:tplc="08130019" w:tentative="1">
      <w:start w:val="1"/>
      <w:numFmt w:val="lowerLetter"/>
      <w:lvlText w:val="%8."/>
      <w:lvlJc w:val="left"/>
      <w:pPr>
        <w:ind w:left="5449" w:hanging="360"/>
      </w:pPr>
    </w:lvl>
    <w:lvl w:ilvl="8" w:tplc="0813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3">
    <w:nsid w:val="629D78CE"/>
    <w:multiLevelType w:val="hybridMultilevel"/>
    <w:tmpl w:val="8550F148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5E388E"/>
    <w:multiLevelType w:val="hybridMultilevel"/>
    <w:tmpl w:val="8FC27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F1367D"/>
    <w:multiLevelType w:val="hybridMultilevel"/>
    <w:tmpl w:val="4E8240F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3A789F"/>
    <w:multiLevelType w:val="hybridMultilevel"/>
    <w:tmpl w:val="7544261C"/>
    <w:lvl w:ilvl="0" w:tplc="0E8C8688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9C508C"/>
    <w:multiLevelType w:val="hybridMultilevel"/>
    <w:tmpl w:val="3698B5B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63715A"/>
    <w:multiLevelType w:val="hybridMultilevel"/>
    <w:tmpl w:val="F43650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8"/>
  </w:num>
  <w:num w:numId="7">
    <w:abstractNumId w:val="17"/>
  </w:num>
  <w:num w:numId="8">
    <w:abstractNumId w:val="8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A8"/>
    <w:rsid w:val="00004E62"/>
    <w:rsid w:val="000119BA"/>
    <w:rsid w:val="00041E1C"/>
    <w:rsid w:val="00043934"/>
    <w:rsid w:val="00047B3F"/>
    <w:rsid w:val="00050197"/>
    <w:rsid w:val="0006232C"/>
    <w:rsid w:val="00071F9B"/>
    <w:rsid w:val="000729A8"/>
    <w:rsid w:val="00076E31"/>
    <w:rsid w:val="000D1341"/>
    <w:rsid w:val="000D7FAB"/>
    <w:rsid w:val="001A587D"/>
    <w:rsid w:val="001B0754"/>
    <w:rsid w:val="001B431C"/>
    <w:rsid w:val="001E54D5"/>
    <w:rsid w:val="001F60C2"/>
    <w:rsid w:val="00210815"/>
    <w:rsid w:val="00212035"/>
    <w:rsid w:val="00220C17"/>
    <w:rsid w:val="00226588"/>
    <w:rsid w:val="0026026B"/>
    <w:rsid w:val="002A781A"/>
    <w:rsid w:val="002E7E6B"/>
    <w:rsid w:val="00373910"/>
    <w:rsid w:val="003965C7"/>
    <w:rsid w:val="00443F77"/>
    <w:rsid w:val="0048644D"/>
    <w:rsid w:val="004A142E"/>
    <w:rsid w:val="004B4742"/>
    <w:rsid w:val="004E27E1"/>
    <w:rsid w:val="00527C55"/>
    <w:rsid w:val="00577CE4"/>
    <w:rsid w:val="00582197"/>
    <w:rsid w:val="005D716F"/>
    <w:rsid w:val="005D7F91"/>
    <w:rsid w:val="005E5393"/>
    <w:rsid w:val="005F31F9"/>
    <w:rsid w:val="006244A2"/>
    <w:rsid w:val="006608A8"/>
    <w:rsid w:val="006C50F7"/>
    <w:rsid w:val="00743AFA"/>
    <w:rsid w:val="00780720"/>
    <w:rsid w:val="007B7586"/>
    <w:rsid w:val="007D2BA3"/>
    <w:rsid w:val="007F657E"/>
    <w:rsid w:val="00806A4B"/>
    <w:rsid w:val="0083295A"/>
    <w:rsid w:val="0084313A"/>
    <w:rsid w:val="00847C9F"/>
    <w:rsid w:val="008A2C95"/>
    <w:rsid w:val="008D5391"/>
    <w:rsid w:val="008E6305"/>
    <w:rsid w:val="009826A0"/>
    <w:rsid w:val="00992F21"/>
    <w:rsid w:val="009B679F"/>
    <w:rsid w:val="009D6AD5"/>
    <w:rsid w:val="009E3F88"/>
    <w:rsid w:val="00A001E2"/>
    <w:rsid w:val="00A02EE8"/>
    <w:rsid w:val="00A20935"/>
    <w:rsid w:val="00A356F5"/>
    <w:rsid w:val="00A67B8B"/>
    <w:rsid w:val="00AA145A"/>
    <w:rsid w:val="00AA4595"/>
    <w:rsid w:val="00AB7C05"/>
    <w:rsid w:val="00AC0849"/>
    <w:rsid w:val="00AE2C9B"/>
    <w:rsid w:val="00AE50A6"/>
    <w:rsid w:val="00AE652C"/>
    <w:rsid w:val="00B07EE3"/>
    <w:rsid w:val="00B315D9"/>
    <w:rsid w:val="00B34F97"/>
    <w:rsid w:val="00B42BC8"/>
    <w:rsid w:val="00B45DB6"/>
    <w:rsid w:val="00B65B38"/>
    <w:rsid w:val="00B7139B"/>
    <w:rsid w:val="00BE61AF"/>
    <w:rsid w:val="00C562BD"/>
    <w:rsid w:val="00C74FDF"/>
    <w:rsid w:val="00CC4E0A"/>
    <w:rsid w:val="00CD6755"/>
    <w:rsid w:val="00D05616"/>
    <w:rsid w:val="00D05AB9"/>
    <w:rsid w:val="00D25142"/>
    <w:rsid w:val="00D32E2C"/>
    <w:rsid w:val="00D5132F"/>
    <w:rsid w:val="00D81F14"/>
    <w:rsid w:val="00D85A26"/>
    <w:rsid w:val="00D926F2"/>
    <w:rsid w:val="00D948AE"/>
    <w:rsid w:val="00D97F7F"/>
    <w:rsid w:val="00DB2AE8"/>
    <w:rsid w:val="00E436FD"/>
    <w:rsid w:val="00E52977"/>
    <w:rsid w:val="00E55693"/>
    <w:rsid w:val="00E66AC6"/>
    <w:rsid w:val="00EA7326"/>
    <w:rsid w:val="00F078CB"/>
    <w:rsid w:val="00F36807"/>
    <w:rsid w:val="00F602D1"/>
    <w:rsid w:val="00FB105B"/>
    <w:rsid w:val="00FB49CD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0729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D0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6B"/>
  </w:style>
  <w:style w:type="paragraph" w:styleId="Footer">
    <w:name w:val="footer"/>
    <w:basedOn w:val="Normal"/>
    <w:link w:val="FooterChar"/>
    <w:uiPriority w:val="99"/>
    <w:unhideWhenUsed/>
    <w:rsid w:val="002E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6B"/>
  </w:style>
  <w:style w:type="paragraph" w:styleId="BalloonText">
    <w:name w:val="Balloon Text"/>
    <w:basedOn w:val="Normal"/>
    <w:link w:val="BalloonTextChar"/>
    <w:uiPriority w:val="99"/>
    <w:semiHidden/>
    <w:unhideWhenUsed/>
    <w:rsid w:val="002E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0729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D0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6B"/>
  </w:style>
  <w:style w:type="paragraph" w:styleId="Footer">
    <w:name w:val="footer"/>
    <w:basedOn w:val="Normal"/>
    <w:link w:val="FooterChar"/>
    <w:uiPriority w:val="99"/>
    <w:unhideWhenUsed/>
    <w:rsid w:val="002E7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6B"/>
  </w:style>
  <w:style w:type="paragraph" w:styleId="BalloonText">
    <w:name w:val="Balloon Text"/>
    <w:basedOn w:val="Normal"/>
    <w:link w:val="BalloonTextChar"/>
    <w:uiPriority w:val="99"/>
    <w:semiHidden/>
    <w:unhideWhenUsed/>
    <w:rsid w:val="002E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0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0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MPT7ECPAHCR6-758363236-141</_dlc_DocId>
    <_dlc_DocIdUrl xmlns="90359a4a-3ee0-4d21-9975-9d02abdd1639">
      <Url>https://doc.icci.be/fr/_layouts/15/DocIdRedir.aspx?ID=MPT7ECPAHCR6-758363236-141</Url>
      <Description>MPT7ECPAHCR6-758363236-141</Description>
    </_dlc_DocIdUrl>
  </documentManagement>
</p:properties>
</file>

<file path=customXml/itemProps1.xml><?xml version="1.0" encoding="utf-8"?>
<ds:datastoreItem xmlns:ds="http://schemas.openxmlformats.org/officeDocument/2006/customXml" ds:itemID="{5C0B4774-F0D9-4A18-A91F-E5FA5A1FD98E}"/>
</file>

<file path=customXml/itemProps2.xml><?xml version="1.0" encoding="utf-8"?>
<ds:datastoreItem xmlns:ds="http://schemas.openxmlformats.org/officeDocument/2006/customXml" ds:itemID="{FF8557F2-46DC-434E-8799-23D1F497B704}"/>
</file>

<file path=customXml/itemProps3.xml><?xml version="1.0" encoding="utf-8"?>
<ds:datastoreItem xmlns:ds="http://schemas.openxmlformats.org/officeDocument/2006/customXml" ds:itemID="{BAB36E8E-12B1-4634-980E-CBF039019A86}"/>
</file>

<file path=customXml/itemProps4.xml><?xml version="1.0" encoding="utf-8"?>
<ds:datastoreItem xmlns:ds="http://schemas.openxmlformats.org/officeDocument/2006/customXml" ds:itemID="{099D2FD7-2A69-41D4-BD68-87A9D1599633}"/>
</file>

<file path=customXml/itemProps5.xml><?xml version="1.0" encoding="utf-8"?>
<ds:datastoreItem xmlns:ds="http://schemas.openxmlformats.org/officeDocument/2006/customXml" ds:itemID="{112985DF-D887-4C40-B533-6AFAC1337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Interimair 2</dc:creator>
  <cp:lastModifiedBy>Snaps Christiane</cp:lastModifiedBy>
  <cp:revision>16</cp:revision>
  <cp:lastPrinted>2011-12-19T13:20:00Z</cp:lastPrinted>
  <dcterms:created xsi:type="dcterms:W3CDTF">2011-12-07T12:56:00Z</dcterms:created>
  <dcterms:modified xsi:type="dcterms:W3CDTF">2011-12-19T13:21:00Z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880edf6b-56df-43ea-b324-0b58cf5e2423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