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576907" w:rsidRPr="00691B21" w:rsidTr="000464E5">
        <w:trPr>
          <w:trHeight w:val="353"/>
        </w:trPr>
        <w:tc>
          <w:tcPr>
            <w:tcW w:w="5670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bookmarkStart w:id="0" w:name="_GoBack"/>
            <w:bookmarkEnd w:id="0"/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2977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:rsidR="00576907" w:rsidRPr="00691B21" w:rsidRDefault="00013213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E</w:t>
            </w:r>
            <w:r w:rsidR="00576907" w:rsidRPr="00691B21">
              <w:rPr>
                <w:rFonts w:ascii="Arial" w:hAnsi="Arial" w:cs="Arial"/>
                <w:color w:val="auto"/>
                <w:sz w:val="20"/>
                <w:lang w:val="fr-BE"/>
              </w:rPr>
              <w:t>xercice</w:t>
            </w:r>
          </w:p>
        </w:tc>
        <w:tc>
          <w:tcPr>
            <w:tcW w:w="2552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576907" w:rsidRPr="00313AAD" w:rsidTr="000464E5">
        <w:tc>
          <w:tcPr>
            <w:tcW w:w="5670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7513" w:type="dxa"/>
            <w:gridSpan w:val="3"/>
            <w:shd w:val="clear" w:color="auto" w:fill="BFBFBF" w:themeFill="background1" w:themeFillShade="BF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CONTRÔLE DU RAPPORT DE GESTION</w:t>
            </w:r>
          </w:p>
        </w:tc>
      </w:tr>
    </w:tbl>
    <w:p w:rsidR="00576907" w:rsidRDefault="00576907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:rsidR="000464E5" w:rsidRPr="0090140C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Style w:val="TableGrid"/>
        <w:tblW w:w="13183" w:type="dxa"/>
        <w:tblInd w:w="250" w:type="dxa"/>
        <w:tblLook w:val="04A0" w:firstRow="1" w:lastRow="0" w:firstColumn="1" w:lastColumn="0" w:noHBand="0" w:noVBand="1"/>
      </w:tblPr>
      <w:tblGrid>
        <w:gridCol w:w="11907"/>
        <w:gridCol w:w="1276"/>
      </w:tblGrid>
      <w:tr w:rsidR="00576907" w:rsidRPr="00576907" w:rsidTr="000464E5">
        <w:tc>
          <w:tcPr>
            <w:tcW w:w="11907" w:type="dxa"/>
          </w:tcPr>
          <w:p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  <w:tc>
          <w:tcPr>
            <w:tcW w:w="1276" w:type="dxa"/>
          </w:tcPr>
          <w:p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576907" w:rsidRPr="00A6671A" w:rsidTr="000464E5">
        <w:tc>
          <w:tcPr>
            <w:tcW w:w="11907" w:type="dxa"/>
          </w:tcPr>
          <w:p w:rsidR="00576907" w:rsidRPr="00576907" w:rsidRDefault="005F5793" w:rsidP="005F57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576907" w:rsidRPr="00576907">
              <w:rPr>
                <w:rFonts w:ascii="Arial" w:hAnsi="Arial" w:cs="Arial"/>
                <w:sz w:val="20"/>
                <w:szCs w:val="20"/>
                <w:lang w:val="fr-BE"/>
              </w:rPr>
              <w:t>a présente check-list a pour objectif de répondre au prescrit de l’article 144, 6° (ou 148, 5°) du Code des sociétés relatif au rapport de gestion (sur les comptes consolidés), à savoir si le rapport de gestion contient les mentions requises aux articles 95 et 96 (ou 119) du Code des sociétés et qu’il concorde avec les comptes annuels.</w:t>
            </w:r>
          </w:p>
        </w:tc>
        <w:tc>
          <w:tcPr>
            <w:tcW w:w="1276" w:type="dxa"/>
          </w:tcPr>
          <w:p w:rsidR="00576907" w:rsidRPr="00576907" w:rsidRDefault="00A6671A" w:rsidP="00A667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N/A</w:t>
            </w:r>
          </w:p>
        </w:tc>
      </w:tr>
    </w:tbl>
    <w:p w:rsidR="00924968" w:rsidRDefault="00924968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:rsidR="000464E5" w:rsidRPr="00FF21EB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A6671A" w:rsidRPr="0089769C" w:rsidTr="000464E5">
        <w:trPr>
          <w:cantSplit/>
          <w:trHeight w:val="840"/>
          <w:tblHeader/>
        </w:trPr>
        <w:tc>
          <w:tcPr>
            <w:tcW w:w="1706" w:type="dxa"/>
            <w:shd w:val="clear" w:color="auto" w:fill="A6A6A6"/>
            <w:noWrap/>
            <w:vAlign w:val="center"/>
            <w:hideMark/>
          </w:tcPr>
          <w:p w:rsidR="00313AAD" w:rsidRDefault="00A6671A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Article concerné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</w:t>
            </w:r>
          </w:p>
          <w:p w:rsidR="00A6671A" w:rsidRPr="0089769C" w:rsidRDefault="00313AAD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C. Soc.</w:t>
            </w:r>
          </w:p>
        </w:tc>
        <w:tc>
          <w:tcPr>
            <w:tcW w:w="5238" w:type="dxa"/>
            <w:shd w:val="clear" w:color="auto" w:fill="A6A6A6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Question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659" w:type="dxa"/>
            <w:shd w:val="clear" w:color="auto" w:fill="A6A6A6"/>
            <w:noWrap/>
            <w:vAlign w:val="center"/>
          </w:tcPr>
          <w:p w:rsidR="00A6671A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O/N/</w:t>
            </w:r>
          </w:p>
          <w:p w:rsidR="0089769C" w:rsidRPr="0089769C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N/A</w:t>
            </w:r>
          </w:p>
        </w:tc>
        <w:tc>
          <w:tcPr>
            <w:tcW w:w="1095" w:type="dxa"/>
            <w:shd w:val="clear" w:color="auto" w:fill="A6A6A6"/>
            <w:noWrap/>
            <w:vAlign w:val="center"/>
            <w:hideMark/>
          </w:tcPr>
          <w:p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nitiale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4500" w:type="dxa"/>
            <w:shd w:val="clear" w:color="auto" w:fill="A6A6A6"/>
            <w:noWrap/>
            <w:vAlign w:val="center"/>
            <w:hideMark/>
          </w:tcPr>
          <w:p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ommentaires</w:t>
            </w:r>
          </w:p>
        </w:tc>
      </w:tr>
      <w:tr w:rsidR="00061D50" w:rsidRPr="002D3A19" w:rsidTr="000464E5">
        <w:trPr>
          <w:trHeight w:val="466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976144" w:rsidRDefault="00A13A40" w:rsidP="0097614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DISPOSITIONS COMMUNES A L’</w:t>
            </w:r>
            <w:r w:rsidR="00061D50" w:rsidRPr="00976144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ENSEMBLE DES SOCIETES</w:t>
            </w: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A13A4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SITUATION DE L’ENTITE DURANT L’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EXERCICE ECOULE</w:t>
            </w: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 et la situation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RISQUES ET INCERTITUDES</w:t>
            </w:r>
          </w:p>
        </w:tc>
      </w:tr>
      <w:tr w:rsidR="00A6671A" w:rsidRPr="002D3A19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313AA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les principaux risques et incertitudes auxquels la société est confrontée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CONTINUITE</w:t>
            </w:r>
          </w:p>
        </w:tc>
      </w:tr>
      <w:tr w:rsidR="00A6671A" w:rsidRPr="002D3A19" w:rsidTr="008E5EF9">
        <w:trPr>
          <w:trHeight w:val="558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6°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comptables de continuité si le bilan fait apparaître une perte reportée ou si le compte de résultats fait apparaître pendant deux exercices consécutifs une perte de l'exercice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Default="000464E5">
      <w: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INSTRUMENTS FINANCIERS</w:t>
            </w: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8°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13A40" w:rsidP="00EB7C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des instruments financiers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objectifs et politique de la société en matière de gestion des risques financiers (en ce inclus politique de couverture des transactions)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exposition de la société au risque de prix, au risque de crédit, au risque de liquidité et au risque de trésorerie.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EXISTENCE DE SUCCURSALES</w:t>
            </w: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5°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existence des succursales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EVOLUTION PREVISIBLE</w:t>
            </w:r>
          </w:p>
        </w:tc>
      </w:tr>
      <w:tr w:rsidR="00A6671A" w:rsidRPr="002D3A19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notable sur le développement de la société (sauf préjudice grave)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RECHERCHE &amp; DE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VELOPPEMENT</w:t>
            </w:r>
          </w:p>
        </w:tc>
      </w:tr>
      <w:tr w:rsidR="00A6671A" w:rsidRPr="00313AAD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4°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les activités en matière de recherche et développement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EVENEMENTS POSTERIEURS A LA CLO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TURE</w:t>
            </w: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les données sur les événements importants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COMIT</w:t>
            </w:r>
            <w:r w:rsidR="00313AAD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</w:t>
            </w: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 xml:space="preserve"> D'AUDIT</w:t>
            </w:r>
          </w:p>
        </w:tc>
      </w:tr>
      <w:tr w:rsidR="00A6671A" w:rsidRPr="00313AAD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EB7C88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9°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la compétence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d’audit d’au moins un membre du comité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Pr="00313AAD" w:rsidRDefault="000464E5">
      <w:pPr>
        <w:rPr>
          <w:lang w:val="fr-BE"/>
        </w:rPr>
      </w:pPr>
      <w:r w:rsidRPr="00313AAD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AUTRES INFORMATIONS</w:t>
            </w: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7°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contient, le cas échéant, les éléments suivants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1063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B25C0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exposé relatif aux augmentat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ions de capital (ou émissions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ou avec droit de souscrip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tion) décidées par le conseil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 (art. 581, al.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2ème phrase, 603, 604, 605 et 606 du C. Soc. ou art. 535 et 583 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    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C. Soc.)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commentaire sur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conditions et conséquences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augment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ation de capital (ou émission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avec droit de souscription)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 rachat d'actions p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ropres (ou à la prise en gage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actions propres)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Default="00EB7C88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l’intégralité du PV du CA lorsqu’il y a eu application de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523 du 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(intérêt opposé)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6A2E8A" w:rsidRDefault="00061D50" w:rsidP="006A2E8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GESTION CONSOLID</w:t>
            </w:r>
            <w:r w:rsidR="00B25C0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</w:t>
            </w:r>
          </w:p>
        </w:tc>
      </w:tr>
      <w:tr w:rsidR="00A6671A" w:rsidRPr="002D3A19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8E5EF9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rt.119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consolidé comporte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699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9F2984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 exposé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fidèle sur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affaires, les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résultats et la situation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des entreprises comprises dans la consolidation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2°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données sur les événements importants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Default="000464E5">
      <w: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464E5" w:rsidRPr="006A2E8A" w:rsidTr="00313AAD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464E5" w:rsidRPr="008E5EF9" w:rsidRDefault="000464E5" w:rsidP="00313AA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RAPPORT DE GESTION CONSOLIDÉ</w:t>
            </w:r>
          </w:p>
        </w:tc>
      </w:tr>
      <w:tr w:rsidR="00A6671A" w:rsidRPr="002D3A19" w:rsidTr="008E5EF9">
        <w:trPr>
          <w:trHeight w:val="11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3°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pour autant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elles ne soient pas de nature à porter gravement préjudice à une société comprise dans la consolidation, des indications sur l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table sur le développement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4°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aux activités en matière de recherche et de développement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274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5°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9F2984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par la société des instruments financiers (politique de gestion des risques financiers et exposition aux risques de prix, de crédit, de liquidité et de trésorerie de la société)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6°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échéant, la justification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de la compétence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 d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 moins un membre du comité d’audit ;</w:t>
            </w:r>
          </w:p>
          <w:p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153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7°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une description des principales caractéristiques des systèmes de contrôle interne et de gestion des risques des sociétés liées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relation avec le processus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établissement des comptes consolidés (si une société cotée figure dans le périmètre de consolidation : à reprendre dans la 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claration sur le gouvernement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: voir sociétés cotées ci-dessous)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1071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le rapport de gestion consolidé est combiné avec le rapport de gestion établi pour les comptes statutaires de la société mère, les indications prescrites sont données de manière distincte pour la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société </w:t>
            </w:r>
            <w:proofErr w:type="spellStart"/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consolidante</w:t>
            </w:r>
            <w:proofErr w:type="spellEnd"/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 pour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Default="000464E5">
      <w: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6A2E8A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8E5EF9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SOCIETES A FINALITE SOCIALE</w:t>
            </w: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contient-il le rapport spécial des administrateurs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6A2E8A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SYNTHESE DES CONTROLES</w:t>
            </w:r>
          </w:p>
        </w:tc>
      </w:tr>
      <w:tr w:rsidR="00A6671A" w:rsidRPr="00313AAD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Le rapport de gestion doit-il être établi par la société (soit en vertu du Code des </w:t>
            </w:r>
            <w:r w:rsidR="00F95C6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ociétés, soit en vertu des statuts)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742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chiffrées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et financier, et les méthodes indiquées sont-elles en concordance avec les comptes annuels, et le cas échéant avec les comptes consolidés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ou financier sont-elles sincères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autres informations sont-elles vraisemblables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2D3A19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apport de gestion est-il daté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au moins un mois avant 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date statutaire de l</w:t>
            </w:r>
            <w:r w:rsidR="00A7525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AGO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est-il signé (deux administrateurs, administrateur-délégué, gérant)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0464E5" w:rsidRPr="00313AAD" w:rsidTr="000464E5">
        <w:trPr>
          <w:trHeight w:val="35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:rsidTr="000464E5">
        <w:trPr>
          <w:trHeight w:val="353"/>
        </w:trPr>
        <w:tc>
          <w:tcPr>
            <w:tcW w:w="5670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:rsidTr="000464E5">
        <w:trPr>
          <w:trHeight w:val="352"/>
        </w:trPr>
        <w:tc>
          <w:tcPr>
            <w:tcW w:w="5670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 l’associé responsable de la mission</w:t>
            </w:r>
          </w:p>
        </w:tc>
        <w:tc>
          <w:tcPr>
            <w:tcW w:w="2977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3B0D1E" w:rsidTr="000464E5">
        <w:trPr>
          <w:trHeight w:val="352"/>
        </w:trPr>
        <w:tc>
          <w:tcPr>
            <w:tcW w:w="5670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Revu par le responsable contrôle qualité </w:t>
            </w:r>
          </w:p>
        </w:tc>
        <w:tc>
          <w:tcPr>
            <w:tcW w:w="2977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:rsidR="0090140C" w:rsidRPr="00924968" w:rsidRDefault="0090140C" w:rsidP="000464E5">
      <w:pPr>
        <w:rPr>
          <w:lang w:val="fr-BE"/>
        </w:rPr>
      </w:pPr>
    </w:p>
    <w:sectPr w:rsidR="0090140C" w:rsidRPr="00924968" w:rsidSect="00834758">
      <w:headerReference w:type="default" r:id="rId9"/>
      <w:footerReference w:type="default" r:id="rId10"/>
      <w:pgSz w:w="15840" w:h="12240" w:orient="landscape"/>
      <w:pgMar w:top="1440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AD" w:rsidRDefault="00313AAD" w:rsidP="00576907">
      <w:pPr>
        <w:spacing w:after="0" w:line="240" w:lineRule="auto"/>
      </w:pPr>
      <w:r>
        <w:separator/>
      </w:r>
    </w:p>
  </w:endnote>
  <w:endnote w:type="continuationSeparator" w:id="0">
    <w:p w:rsidR="00313AAD" w:rsidRDefault="00313AAD" w:rsidP="0057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82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3AAD" w:rsidRDefault="00313AAD" w:rsidP="00A13A40">
            <w:pPr>
              <w:pStyle w:val="Footer"/>
              <w:jc w:val="right"/>
            </w:pP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0B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C88">
              <w:rPr>
                <w:rFonts w:ascii="Arial" w:hAnsi="Arial" w:cs="Arial"/>
                <w:sz w:val="18"/>
                <w:szCs w:val="18"/>
              </w:rPr>
              <w:t>/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D20B8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13AAD" w:rsidRDefault="0031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AD" w:rsidRDefault="00313AAD" w:rsidP="00576907">
      <w:pPr>
        <w:spacing w:after="0" w:line="240" w:lineRule="auto"/>
      </w:pPr>
      <w:r>
        <w:separator/>
      </w:r>
    </w:p>
  </w:footnote>
  <w:footnote w:type="continuationSeparator" w:id="0">
    <w:p w:rsidR="00313AAD" w:rsidRDefault="00313AAD" w:rsidP="0057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AD" w:rsidRDefault="00313AAD" w:rsidP="002D3A19">
    <w:pPr>
      <w:spacing w:before="60" w:after="60" w:line="240" w:lineRule="auto"/>
      <w:rPr>
        <w:rFonts w:ascii="Arial" w:hAnsi="Arial" w:cs="Arial"/>
        <w:b/>
        <w:sz w:val="24"/>
        <w:szCs w:val="24"/>
        <w:lang w:val="fr-BE"/>
      </w:rPr>
    </w:pPr>
    <w:r>
      <w:rPr>
        <w:rFonts w:ascii="Arial" w:hAnsi="Arial" w:cs="Arial"/>
        <w:b/>
        <w:sz w:val="24"/>
        <w:szCs w:val="24"/>
        <w:lang w:val="fr-BE"/>
      </w:rPr>
      <w:t>Check-list D2 – Rapport de gestion</w:t>
    </w:r>
  </w:p>
  <w:p w:rsidR="00313AAD" w:rsidRPr="002D3A19" w:rsidRDefault="00313AAD">
    <w:pPr>
      <w:pStyle w:val="Header"/>
      <w:rPr>
        <w:lang w:val="fr-BE"/>
      </w:rPr>
    </w:pPr>
  </w:p>
  <w:p w:rsidR="00313AAD" w:rsidRPr="00576907" w:rsidRDefault="00313AAD">
    <w:pPr>
      <w:pStyle w:val="Header"/>
      <w:rPr>
        <w:sz w:val="24"/>
        <w:szCs w:val="24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C1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12BC7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7694D"/>
    <w:multiLevelType w:val="hybridMultilevel"/>
    <w:tmpl w:val="2098DF64"/>
    <w:lvl w:ilvl="0" w:tplc="2DE0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DDC"/>
    <w:multiLevelType w:val="hybridMultilevel"/>
    <w:tmpl w:val="CC242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7575"/>
    <w:multiLevelType w:val="hybridMultilevel"/>
    <w:tmpl w:val="A0AC5FBA"/>
    <w:lvl w:ilvl="0" w:tplc="37D408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36D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1370A"/>
    <w:multiLevelType w:val="hybridMultilevel"/>
    <w:tmpl w:val="0B808CD6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428DE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001"/>
    <w:rsid w:val="000106CB"/>
    <w:rsid w:val="00013213"/>
    <w:rsid w:val="000373CB"/>
    <w:rsid w:val="000464E5"/>
    <w:rsid w:val="00061D50"/>
    <w:rsid w:val="000D50EF"/>
    <w:rsid w:val="001C047E"/>
    <w:rsid w:val="00212254"/>
    <w:rsid w:val="002D1796"/>
    <w:rsid w:val="002D3A19"/>
    <w:rsid w:val="00313AAD"/>
    <w:rsid w:val="00365B05"/>
    <w:rsid w:val="003D247B"/>
    <w:rsid w:val="00450001"/>
    <w:rsid w:val="00450CF3"/>
    <w:rsid w:val="00457133"/>
    <w:rsid w:val="00471BF7"/>
    <w:rsid w:val="004D7E38"/>
    <w:rsid w:val="0053277F"/>
    <w:rsid w:val="00576907"/>
    <w:rsid w:val="005F5793"/>
    <w:rsid w:val="006A2E8A"/>
    <w:rsid w:val="00834758"/>
    <w:rsid w:val="008555B2"/>
    <w:rsid w:val="0089769C"/>
    <w:rsid w:val="008A511B"/>
    <w:rsid w:val="008B0556"/>
    <w:rsid w:val="008C10AF"/>
    <w:rsid w:val="008E5EF9"/>
    <w:rsid w:val="0090140C"/>
    <w:rsid w:val="00924968"/>
    <w:rsid w:val="00976144"/>
    <w:rsid w:val="009C4AB1"/>
    <w:rsid w:val="009E273D"/>
    <w:rsid w:val="009F2984"/>
    <w:rsid w:val="00A13A40"/>
    <w:rsid w:val="00A27D53"/>
    <w:rsid w:val="00A6671A"/>
    <w:rsid w:val="00A75254"/>
    <w:rsid w:val="00B25C0A"/>
    <w:rsid w:val="00C20EE2"/>
    <w:rsid w:val="00CE0C76"/>
    <w:rsid w:val="00CF6940"/>
    <w:rsid w:val="00D029DC"/>
    <w:rsid w:val="00DC204F"/>
    <w:rsid w:val="00DD20B8"/>
    <w:rsid w:val="00DE4917"/>
    <w:rsid w:val="00E503D9"/>
    <w:rsid w:val="00EB7C88"/>
    <w:rsid w:val="00EE127B"/>
    <w:rsid w:val="00F95C66"/>
    <w:rsid w:val="00FE6BAB"/>
    <w:rsid w:val="00FF21E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4500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36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07"/>
  </w:style>
  <w:style w:type="paragraph" w:styleId="Footer">
    <w:name w:val="footer"/>
    <w:basedOn w:val="Normal"/>
    <w:link w:val="Foot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07"/>
  </w:style>
  <w:style w:type="table" w:styleId="TableGrid">
    <w:name w:val="Table Grid"/>
    <w:basedOn w:val="TableNormal"/>
    <w:rsid w:val="0057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0A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0A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1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4500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36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07"/>
  </w:style>
  <w:style w:type="paragraph" w:styleId="Footer">
    <w:name w:val="footer"/>
    <w:basedOn w:val="Normal"/>
    <w:link w:val="Foot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07"/>
  </w:style>
  <w:style w:type="table" w:styleId="TableGrid">
    <w:name w:val="Table Grid"/>
    <w:basedOn w:val="TableNormal"/>
    <w:rsid w:val="0057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0A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0A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1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MPT7ECPAHCR6-758363236-137</_dlc_DocId>
    <_dlc_DocIdUrl xmlns="90359a4a-3ee0-4d21-9975-9d02abdd1639">
      <Url>https://doc.icci.be/fr/_layouts/15/DocIdRedir.aspx?ID=MPT7ECPAHCR6-758363236-137</Url>
      <Description>MPT7ECPAHCR6-758363236-137</Description>
    </_dlc_DocIdUrl>
  </documentManagement>
</p:properties>
</file>

<file path=customXml/itemProps1.xml><?xml version="1.0" encoding="utf-8"?>
<ds:datastoreItem xmlns:ds="http://schemas.openxmlformats.org/officeDocument/2006/customXml" ds:itemID="{8BCCDDE7-4CA9-40AC-8378-4500A38397F3}"/>
</file>

<file path=customXml/itemProps2.xml><?xml version="1.0" encoding="utf-8"?>
<ds:datastoreItem xmlns:ds="http://schemas.openxmlformats.org/officeDocument/2006/customXml" ds:itemID="{14F6D9B5-CA93-4AA0-9BE7-86627612ED2E}"/>
</file>

<file path=customXml/itemProps3.xml><?xml version="1.0" encoding="utf-8"?>
<ds:datastoreItem xmlns:ds="http://schemas.openxmlformats.org/officeDocument/2006/customXml" ds:itemID="{DB4CE675-F687-4B9F-BEB9-89F2F8843575}"/>
</file>

<file path=customXml/itemProps4.xml><?xml version="1.0" encoding="utf-8"?>
<ds:datastoreItem xmlns:ds="http://schemas.openxmlformats.org/officeDocument/2006/customXml" ds:itemID="{7E91FE55-3E55-464E-8BA6-B0A27F1E9DE6}"/>
</file>

<file path=customXml/itemProps5.xml><?xml version="1.0" encoding="utf-8"?>
<ds:datastoreItem xmlns:ds="http://schemas.openxmlformats.org/officeDocument/2006/customXml" ds:itemID="{7A796068-0CD5-4DEF-B1EC-04C6A90CF7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Interimair 2</dc:creator>
  <cp:keywords/>
  <dc:description/>
  <cp:lastModifiedBy>Snaps Christiane</cp:lastModifiedBy>
  <cp:revision>35</cp:revision>
  <cp:lastPrinted>2011-12-19T13:22:00Z</cp:lastPrinted>
  <dcterms:created xsi:type="dcterms:W3CDTF">2011-03-17T13:31:00Z</dcterms:created>
  <dcterms:modified xsi:type="dcterms:W3CDTF">2011-12-19T13:22:00Z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  <property fmtid="{D5CDD505-2E9C-101B-9397-08002B2CF9AE}" pid="3" name="_dlc_DocIdItemGuid">
    <vt:lpwstr>fdc69696-5b40-4d8e-b0f8-88361ba9389f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