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127"/>
        <w:gridCol w:w="1984"/>
        <w:gridCol w:w="1701"/>
      </w:tblGrid>
      <w:tr w:rsidR="00CA1A69" w:rsidRPr="00CA1A69" w:rsidTr="00987E5E">
        <w:trPr>
          <w:trHeight w:val="353"/>
        </w:trPr>
        <w:tc>
          <w:tcPr>
            <w:tcW w:w="4536" w:type="dxa"/>
            <w:shd w:val="clear" w:color="auto" w:fill="auto"/>
          </w:tcPr>
          <w:p w:rsidR="00CA1A69" w:rsidRPr="00CA1A69" w:rsidRDefault="00CA1A69" w:rsidP="00F0317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 xml:space="preserve">Nom du client </w:t>
            </w:r>
          </w:p>
        </w:tc>
        <w:tc>
          <w:tcPr>
            <w:tcW w:w="2127" w:type="dxa"/>
            <w:shd w:val="clear" w:color="auto" w:fill="auto"/>
          </w:tcPr>
          <w:p w:rsidR="00CA1A69" w:rsidRPr="00CA1A69" w:rsidRDefault="00CA1A69" w:rsidP="00F0317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  <w:tc>
          <w:tcPr>
            <w:tcW w:w="1984" w:type="dxa"/>
            <w:shd w:val="clear" w:color="auto" w:fill="auto"/>
          </w:tcPr>
          <w:p w:rsidR="00CA1A69" w:rsidRPr="00CA1A69" w:rsidRDefault="00A637EF" w:rsidP="00F0317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  <w:r w:rsidR="00CA1A69" w:rsidRPr="00CA1A69">
              <w:rPr>
                <w:rFonts w:ascii="Arial" w:hAnsi="Arial" w:cs="Arial"/>
                <w:sz w:val="20"/>
                <w:lang w:val="fr-BE"/>
              </w:rPr>
              <w:t>xercice</w:t>
            </w:r>
          </w:p>
        </w:tc>
        <w:tc>
          <w:tcPr>
            <w:tcW w:w="1701" w:type="dxa"/>
            <w:shd w:val="clear" w:color="auto" w:fill="auto"/>
          </w:tcPr>
          <w:p w:rsidR="00CA1A69" w:rsidRPr="00CA1A69" w:rsidRDefault="00CA1A69" w:rsidP="00F0317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  <w:tr w:rsidR="00CA1A69" w:rsidRPr="00CA1A69" w:rsidTr="00987E5E">
        <w:tc>
          <w:tcPr>
            <w:tcW w:w="4536" w:type="dxa"/>
            <w:shd w:val="clear" w:color="auto" w:fill="auto"/>
          </w:tcPr>
          <w:p w:rsidR="00CA1A69" w:rsidRPr="00CA1A69" w:rsidRDefault="00CA1A69" w:rsidP="00F0317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spacing w:val="-5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>Sujet</w:t>
            </w:r>
          </w:p>
        </w:tc>
        <w:tc>
          <w:tcPr>
            <w:tcW w:w="5812" w:type="dxa"/>
            <w:gridSpan w:val="3"/>
            <w:shd w:val="clear" w:color="auto" w:fill="BFBFBF"/>
          </w:tcPr>
          <w:p w:rsidR="00CA1A69" w:rsidRPr="004B3FC9" w:rsidRDefault="00CA1A69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FC9">
              <w:rPr>
                <w:rFonts w:ascii="Arial" w:hAnsi="Arial" w:cs="Arial"/>
                <w:b/>
                <w:bCs/>
                <w:sz w:val="20"/>
                <w:szCs w:val="20"/>
              </w:rPr>
              <w:t>CONFORMITE AVEC LES LOIS ET REGLEMENTATIONS</w:t>
            </w:r>
          </w:p>
        </w:tc>
      </w:tr>
    </w:tbl>
    <w:p w:rsidR="00987E5E" w:rsidRDefault="00987E5E" w:rsidP="00B01D49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1134"/>
        <w:tblGridChange w:id="0">
          <w:tblGrid>
            <w:gridCol w:w="9214"/>
            <w:gridCol w:w="1134"/>
          </w:tblGrid>
        </w:tblGridChange>
      </w:tblGrid>
      <w:tr w:rsidR="00987E5E" w:rsidRPr="0001708C" w:rsidTr="00081972">
        <w:tc>
          <w:tcPr>
            <w:tcW w:w="9214" w:type="dxa"/>
            <w:shd w:val="clear" w:color="auto" w:fill="auto"/>
          </w:tcPr>
          <w:p w:rsidR="00987E5E" w:rsidRPr="0001708C" w:rsidRDefault="00987E5E" w:rsidP="0008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08C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134" w:type="dxa"/>
            <w:shd w:val="clear" w:color="auto" w:fill="auto"/>
          </w:tcPr>
          <w:p w:rsidR="00987E5E" w:rsidRPr="0001708C" w:rsidRDefault="00987E5E" w:rsidP="0008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08C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987E5E" w:rsidRPr="00081972" w:rsidTr="00081972">
        <w:tc>
          <w:tcPr>
            <w:tcW w:w="9214" w:type="dxa"/>
            <w:shd w:val="clear" w:color="auto" w:fill="auto"/>
          </w:tcPr>
          <w:p w:rsidR="00987E5E" w:rsidRPr="00081972" w:rsidRDefault="0001708C" w:rsidP="002A0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87E5E" w:rsidRPr="00081972">
              <w:rPr>
                <w:rFonts w:ascii="Arial" w:hAnsi="Arial" w:cs="Arial"/>
                <w:sz w:val="20"/>
                <w:szCs w:val="20"/>
              </w:rPr>
              <w:t xml:space="preserve">’objectif de la présente check-list est de donner une assurance raisonnable que le client s’est conformé avec toutes les lois </w:t>
            </w:r>
            <w:r w:rsidR="000F40CB">
              <w:rPr>
                <w:rFonts w:ascii="Arial" w:hAnsi="Arial" w:cs="Arial"/>
                <w:sz w:val="20"/>
                <w:szCs w:val="20"/>
              </w:rPr>
              <w:t>et les réglementations pertinentes</w:t>
            </w:r>
            <w:r w:rsidR="00987E5E" w:rsidRPr="00081972">
              <w:rPr>
                <w:rFonts w:ascii="Arial" w:hAnsi="Arial" w:cs="Arial"/>
                <w:sz w:val="20"/>
                <w:szCs w:val="20"/>
              </w:rPr>
              <w:t xml:space="preserve"> (en dehors du Code des sociétés).</w:t>
            </w:r>
            <w:r w:rsidR="000F40CB" w:rsidRPr="00CA1A69">
              <w:rPr>
                <w:rFonts w:ascii="Arial" w:hAnsi="Arial" w:cs="Arial"/>
                <w:sz w:val="20"/>
                <w:szCs w:val="20"/>
              </w:rPr>
              <w:t xml:space="preserve"> Les questions doivent en principe être posées directement à l’administrateur délégué (CEO) et/ou au directeur financier (CFO).</w:t>
            </w:r>
          </w:p>
        </w:tc>
        <w:tc>
          <w:tcPr>
            <w:tcW w:w="1134" w:type="dxa"/>
            <w:shd w:val="clear" w:color="auto" w:fill="auto"/>
          </w:tcPr>
          <w:p w:rsidR="00987E5E" w:rsidRPr="00081972" w:rsidRDefault="00987E5E" w:rsidP="00C8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7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</w:tbl>
    <w:p w:rsidR="00987E5E" w:rsidRDefault="00987E5E" w:rsidP="000E207B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3260"/>
        <w:gridCol w:w="993"/>
        <w:gridCol w:w="851"/>
      </w:tblGrid>
      <w:tr w:rsidR="00354773" w:rsidRPr="00CA1A69" w:rsidTr="00F0317E">
        <w:trPr>
          <w:cantSplit/>
          <w:trHeight w:val="645"/>
          <w:tblHeader/>
        </w:trPr>
        <w:tc>
          <w:tcPr>
            <w:tcW w:w="4536" w:type="dxa"/>
            <w:shd w:val="clear" w:color="auto" w:fill="BFBFBF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Procédure d’audit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54773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  <w:r w:rsidRPr="00CA1A6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354773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on/</w:t>
            </w:r>
          </w:p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354773" w:rsidRPr="00CA1A69" w:rsidRDefault="00354773" w:rsidP="009F1B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Commentaire</w:t>
            </w:r>
            <w:r w:rsidR="009F1BF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Réf.</w:t>
            </w: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354773" w:rsidRPr="00CA1A69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 xml:space="preserve">Décrire les lois et les réglementations qui ont un impact direct sur la détermination des montants significatifs et </w:t>
            </w:r>
            <w:r>
              <w:rPr>
                <w:rFonts w:ascii="Arial" w:hAnsi="Arial" w:cs="Arial"/>
                <w:sz w:val="20"/>
                <w:szCs w:val="20"/>
              </w:rPr>
              <w:t>de l’annexe aux comptes annuels</w:t>
            </w:r>
            <w:r w:rsidR="0048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354773" w:rsidRPr="00DE1543" w:rsidRDefault="00354773" w:rsidP="00DE1543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 xml:space="preserve">Au travers d’enquêtes menées auprès de la direction et des responsables de la gouvernance, l’entité est-elle en conformité avec ces lois et réglementations qui lui sont applicables ? 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354773" w:rsidRPr="00CA1A69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>Examiner, le cas échéant, la correspondance avec les autorités éventuelles de réglementation et documenter les conclusions.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487762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 xml:space="preserve">L’équipe d’audit a-t-elle eu connaissance de toute information concernant un cas de </w:t>
            </w:r>
            <w:r w:rsidR="00F638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1A69">
              <w:rPr>
                <w:rFonts w:ascii="Arial" w:hAnsi="Arial" w:cs="Arial"/>
                <w:sz w:val="20"/>
                <w:szCs w:val="20"/>
              </w:rPr>
              <w:t xml:space="preserve">non-conformité avec les lois et les </w:t>
            </w:r>
            <w:r w:rsidR="00154D09">
              <w:rPr>
                <w:rFonts w:ascii="Arial" w:hAnsi="Arial" w:cs="Arial"/>
                <w:sz w:val="20"/>
                <w:szCs w:val="20"/>
              </w:rPr>
              <w:t>réglementations</w:t>
            </w:r>
            <w:r w:rsidRPr="00CA1A69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354773" w:rsidRPr="00CA1A69" w:rsidRDefault="00487762" w:rsidP="00BC3D10">
            <w:p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ce cas,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 xml:space="preserve"> décrire la nature du cas identifié et les circonstances dans lesquels il s’est déroulé</w:t>
            </w:r>
            <w:r w:rsidR="00354773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 xml:space="preserve"> évaluer les conséquences des cas de non-conformité constatés sur les autres aspects de l’audit et documenter l’information complémentaire nécessaire pour évaluer l’impact possible sur les </w:t>
            </w:r>
            <w:r w:rsidR="00BC3D10">
              <w:rPr>
                <w:rFonts w:ascii="Arial" w:hAnsi="Arial" w:cs="Arial"/>
                <w:sz w:val="20"/>
                <w:szCs w:val="20"/>
              </w:rPr>
              <w:t>comptes annuels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487762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>L’équipe d’audit a-t-elle eu connaissance de toute information concernant un cas de suspicion de non-conformité avec les lois et</w:t>
            </w:r>
            <w:r w:rsidR="00154D09">
              <w:rPr>
                <w:rFonts w:ascii="Arial" w:hAnsi="Arial" w:cs="Arial"/>
                <w:sz w:val="20"/>
                <w:szCs w:val="20"/>
              </w:rPr>
              <w:t xml:space="preserve"> les ré</w:t>
            </w:r>
            <w:r w:rsidRPr="00CA1A69">
              <w:rPr>
                <w:rFonts w:ascii="Arial" w:hAnsi="Arial" w:cs="Arial"/>
                <w:sz w:val="20"/>
                <w:szCs w:val="20"/>
              </w:rPr>
              <w:t xml:space="preserve">glementations ? </w:t>
            </w:r>
          </w:p>
          <w:p w:rsidR="00354773" w:rsidRPr="00CA1A69" w:rsidRDefault="00487762" w:rsidP="00F0317E">
            <w:p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>ocumenter la discussion du cas suspecté de non-conformité avec la direction ou les responsables de la gouvernance.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E8B" w:rsidRDefault="00ED7E8B">
      <w:r>
        <w:br w:type="page"/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3260"/>
        <w:gridCol w:w="993"/>
        <w:gridCol w:w="851"/>
      </w:tblGrid>
      <w:tr w:rsidR="00ED7E8B" w:rsidRPr="00CA1A69" w:rsidTr="009018FB">
        <w:trPr>
          <w:cantSplit/>
          <w:trHeight w:val="645"/>
          <w:tblHeader/>
        </w:trPr>
        <w:tc>
          <w:tcPr>
            <w:tcW w:w="4536" w:type="dxa"/>
            <w:shd w:val="clear" w:color="auto" w:fill="BFBFBF"/>
            <w:vAlign w:val="center"/>
          </w:tcPr>
          <w:p w:rsidR="00ED7E8B" w:rsidRPr="00CA1A69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Procédure d’audit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D7E8B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  <w:r w:rsidRPr="00CA1A6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ED7E8B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on/</w:t>
            </w:r>
          </w:p>
          <w:p w:rsidR="00ED7E8B" w:rsidRPr="00CA1A69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ED7E8B" w:rsidRPr="00CA1A69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A69">
              <w:rPr>
                <w:rFonts w:ascii="Arial" w:hAnsi="Arial" w:cs="Arial"/>
                <w:b/>
                <w:sz w:val="20"/>
                <w:szCs w:val="20"/>
              </w:rPr>
              <w:t>Commentaire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ED7E8B" w:rsidRPr="00CA1A69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ED7E8B" w:rsidRPr="00CA1A69" w:rsidRDefault="00ED7E8B" w:rsidP="009018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Réf.</w:t>
            </w: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487762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>A-t-on obtenu suffisamment d’information de la direction ou des responsables de la gouvernance pour soutenir que l’entité est en co</w:t>
            </w:r>
            <w:r w:rsidR="00154D09">
              <w:rPr>
                <w:rFonts w:ascii="Arial" w:hAnsi="Arial" w:cs="Arial"/>
                <w:sz w:val="20"/>
                <w:szCs w:val="20"/>
              </w:rPr>
              <w:t>nformité avec les lois et les ré</w:t>
            </w:r>
            <w:r w:rsidRPr="00CA1A69">
              <w:rPr>
                <w:rFonts w:ascii="Arial" w:hAnsi="Arial" w:cs="Arial"/>
                <w:sz w:val="20"/>
                <w:szCs w:val="20"/>
              </w:rPr>
              <w:t>glementations ?</w:t>
            </w:r>
          </w:p>
          <w:p w:rsidR="00354773" w:rsidRPr="00CA1A69" w:rsidRDefault="00C81E63" w:rsidP="00BC3D10">
            <w:p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 xml:space="preserve">ans l’hypothèse où l’impact de la </w:t>
            </w:r>
            <w:r w:rsidR="00154D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 xml:space="preserve">non-conformité suspectée est significatif au niveau des </w:t>
            </w:r>
            <w:r w:rsidR="00BC3D10">
              <w:rPr>
                <w:rFonts w:ascii="Arial" w:hAnsi="Arial" w:cs="Arial"/>
                <w:sz w:val="20"/>
                <w:szCs w:val="20"/>
              </w:rPr>
              <w:t>comptes annuels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>, envisager et documenter, la p</w:t>
            </w:r>
            <w:r w:rsidR="00ED7E8B">
              <w:rPr>
                <w:rFonts w:ascii="Arial" w:hAnsi="Arial" w:cs="Arial"/>
                <w:sz w:val="20"/>
                <w:szCs w:val="20"/>
              </w:rPr>
              <w:t xml:space="preserve">ossibilité d’avoir besoin d’un </w:t>
            </w:r>
            <w:r w:rsidR="00354773" w:rsidRPr="00CA1A69">
              <w:rPr>
                <w:rFonts w:ascii="Arial" w:hAnsi="Arial" w:cs="Arial"/>
                <w:sz w:val="20"/>
                <w:szCs w:val="20"/>
              </w:rPr>
              <w:t>avis juridique</w:t>
            </w:r>
            <w:r w:rsidR="0048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73" w:rsidRPr="00CA1A69" w:rsidTr="00F0317E">
        <w:tc>
          <w:tcPr>
            <w:tcW w:w="4536" w:type="dxa"/>
            <w:vAlign w:val="center"/>
          </w:tcPr>
          <w:p w:rsidR="00354773" w:rsidRPr="00CA1A69" w:rsidRDefault="00354773" w:rsidP="00F0317E">
            <w:pPr>
              <w:numPr>
                <w:ilvl w:val="0"/>
                <w:numId w:val="45"/>
              </w:num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FFF">
              <w:rPr>
                <w:rFonts w:ascii="Arial" w:hAnsi="Arial" w:cs="Arial"/>
                <w:sz w:val="20"/>
                <w:szCs w:val="20"/>
              </w:rPr>
              <w:t>Evaluer et décrire les conséquences d’un manque d’éléments probants suffisants</w:t>
            </w:r>
            <w:r>
              <w:rPr>
                <w:rFonts w:ascii="Arial" w:hAnsi="Arial" w:cs="Arial"/>
                <w:sz w:val="20"/>
                <w:szCs w:val="20"/>
              </w:rPr>
              <w:t xml:space="preserve"> sur la confo</w:t>
            </w:r>
            <w:r w:rsidR="00154D09">
              <w:rPr>
                <w:rFonts w:ascii="Arial" w:hAnsi="Arial" w:cs="Arial"/>
                <w:sz w:val="20"/>
                <w:szCs w:val="20"/>
              </w:rPr>
              <w:t>rmité par rapport aux lois et ré</w:t>
            </w:r>
            <w:r>
              <w:rPr>
                <w:rFonts w:ascii="Arial" w:hAnsi="Arial" w:cs="Arial"/>
                <w:sz w:val="20"/>
                <w:szCs w:val="20"/>
              </w:rPr>
              <w:t>glementations applicables</w:t>
            </w:r>
            <w:r w:rsidRPr="00570F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ainsi que </w:t>
            </w:r>
            <w:r w:rsidRPr="00570FFF">
              <w:rPr>
                <w:rFonts w:ascii="Arial" w:hAnsi="Arial" w:cs="Arial"/>
                <w:sz w:val="20"/>
                <w:szCs w:val="20"/>
              </w:rPr>
              <w:t xml:space="preserve"> l’impact sur l’opinion de l’auditeur.</w:t>
            </w:r>
          </w:p>
        </w:tc>
        <w:tc>
          <w:tcPr>
            <w:tcW w:w="709" w:type="dxa"/>
            <w:vAlign w:val="center"/>
          </w:tcPr>
          <w:p w:rsidR="00354773" w:rsidRPr="00CA1A69" w:rsidRDefault="00354773" w:rsidP="00F031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773" w:rsidRPr="00CA1A69" w:rsidRDefault="0035477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306" w:rsidRDefault="00B30306" w:rsidP="00B30306">
      <w:pPr>
        <w:rPr>
          <w:rFonts w:ascii="Arial" w:hAnsi="Arial" w:cs="Arial"/>
          <w:sz w:val="20"/>
          <w:szCs w:val="20"/>
        </w:rPr>
      </w:pPr>
    </w:p>
    <w:p w:rsidR="00B30306" w:rsidRPr="00CA1A69" w:rsidRDefault="00B30306" w:rsidP="00B30306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C81E63" w:rsidRPr="00F0317E" w:rsidTr="002903A0">
        <w:tc>
          <w:tcPr>
            <w:tcW w:w="10348" w:type="dxa"/>
            <w:shd w:val="clear" w:color="auto" w:fill="D9D9D9"/>
            <w:vAlign w:val="center"/>
          </w:tcPr>
          <w:p w:rsidR="00C81E63" w:rsidRPr="00F0317E" w:rsidRDefault="00C81E63" w:rsidP="00C81E6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0317E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C81E63" w:rsidRPr="00CA1A69" w:rsidTr="002903A0">
        <w:tc>
          <w:tcPr>
            <w:tcW w:w="10348" w:type="dxa"/>
            <w:vAlign w:val="center"/>
          </w:tcPr>
          <w:p w:rsidR="00C81E63" w:rsidRDefault="00C81E6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1 :</w:t>
            </w:r>
          </w:p>
          <w:p w:rsidR="00C81E63" w:rsidRPr="00CA1A69" w:rsidRDefault="00C81E6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1A69">
              <w:rPr>
                <w:rFonts w:ascii="Arial" w:hAnsi="Arial" w:cs="Arial"/>
                <w:sz w:val="20"/>
                <w:szCs w:val="20"/>
              </w:rPr>
              <w:t>Le risque d’anomalies significatives découlant de cas de non-co</w:t>
            </w:r>
            <w:r w:rsidR="00154D09">
              <w:rPr>
                <w:rFonts w:ascii="Arial" w:hAnsi="Arial" w:cs="Arial"/>
                <w:sz w:val="20"/>
                <w:szCs w:val="20"/>
              </w:rPr>
              <w:t>nformité avec les lois et les ré</w:t>
            </w:r>
            <w:r w:rsidRPr="00CA1A69">
              <w:rPr>
                <w:rFonts w:ascii="Arial" w:hAnsi="Arial" w:cs="Arial"/>
                <w:sz w:val="20"/>
                <w:szCs w:val="20"/>
              </w:rPr>
              <w:t>glementions a été réduit à un niveau acceptable.</w:t>
            </w:r>
          </w:p>
        </w:tc>
      </w:tr>
      <w:tr w:rsidR="00C81E63" w:rsidRPr="00CA1A69" w:rsidTr="002903A0">
        <w:tc>
          <w:tcPr>
            <w:tcW w:w="10348" w:type="dxa"/>
            <w:vAlign w:val="center"/>
          </w:tcPr>
          <w:p w:rsidR="00C81E63" w:rsidRDefault="00C81E63" w:rsidP="00F0317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Option 2 :</w:t>
            </w:r>
          </w:p>
          <w:p w:rsidR="00C81E63" w:rsidRPr="00CA1A69" w:rsidRDefault="009F1BF4" w:rsidP="00F0317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Si n</w:t>
            </w:r>
            <w:r w:rsidR="00C81E63" w:rsidRPr="00CA1A69">
              <w:rPr>
                <w:rFonts w:ascii="Arial" w:hAnsi="Arial" w:cs="Arial"/>
                <w:sz w:val="20"/>
                <w:szCs w:val="20"/>
                <w:lang w:val="fr-BE"/>
              </w:rPr>
              <w:t xml:space="preserve">on alors, </w:t>
            </w:r>
            <w:r w:rsidR="00AB749D">
              <w:rPr>
                <w:rFonts w:ascii="Arial" w:hAnsi="Arial" w:cs="Arial"/>
                <w:sz w:val="20"/>
                <w:szCs w:val="20"/>
              </w:rPr>
              <w:t>d</w:t>
            </w:r>
            <w:r w:rsidR="00C81E63" w:rsidRPr="00CA1A69">
              <w:rPr>
                <w:rFonts w:ascii="Arial" w:hAnsi="Arial" w:cs="Arial"/>
                <w:sz w:val="20"/>
                <w:szCs w:val="20"/>
              </w:rPr>
              <w:t>es procédures supplémentaires doivent être exécutées dans le but d’émettre une opinion d’audit</w:t>
            </w:r>
            <w:r w:rsidR="00C81E63">
              <w:rPr>
                <w:rFonts w:ascii="Arial" w:hAnsi="Arial" w:cs="Arial"/>
                <w:sz w:val="20"/>
                <w:szCs w:val="20"/>
              </w:rPr>
              <w:t xml:space="preserve"> non modifiée</w:t>
            </w:r>
            <w:r w:rsidR="00C81E63" w:rsidRPr="00CA1A69">
              <w:rPr>
                <w:rFonts w:ascii="Arial" w:hAnsi="Arial" w:cs="Arial"/>
                <w:sz w:val="20"/>
                <w:szCs w:val="20"/>
              </w:rPr>
              <w:t>. Dans le cas contraire,</w:t>
            </w:r>
            <w:r w:rsidR="00AB749D">
              <w:rPr>
                <w:rFonts w:ascii="Arial" w:hAnsi="Arial" w:cs="Arial"/>
                <w:sz w:val="20"/>
                <w:szCs w:val="20"/>
              </w:rPr>
              <w:t xml:space="preserve"> l’opinion d’audit sera ada</w:t>
            </w:r>
            <w:r w:rsidR="00C81E63">
              <w:rPr>
                <w:rFonts w:ascii="Arial" w:hAnsi="Arial" w:cs="Arial"/>
                <w:sz w:val="20"/>
                <w:szCs w:val="20"/>
              </w:rPr>
              <w:t>ptée en conséquence</w:t>
            </w:r>
            <w:r w:rsidR="00C81E63" w:rsidRPr="00CA1A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1E63" w:rsidRPr="00CA1A69" w:rsidRDefault="00C81E63" w:rsidP="00F03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306" w:rsidRPr="00CA1A69" w:rsidRDefault="00B30306" w:rsidP="00B30306">
      <w:pPr>
        <w:rPr>
          <w:rFonts w:ascii="Arial" w:hAnsi="Arial" w:cs="Arial"/>
          <w:sz w:val="20"/>
          <w:szCs w:val="20"/>
        </w:rPr>
      </w:pPr>
    </w:p>
    <w:p w:rsidR="00B30306" w:rsidRPr="00CA1A69" w:rsidRDefault="00B30306" w:rsidP="00B30306">
      <w:pPr>
        <w:rPr>
          <w:rFonts w:ascii="Arial" w:hAnsi="Arial" w:cs="Arial"/>
          <w:sz w:val="20"/>
          <w:szCs w:val="20"/>
        </w:rPr>
      </w:pPr>
    </w:p>
    <w:p w:rsidR="00B30306" w:rsidRPr="00CA1A69" w:rsidRDefault="00B30306" w:rsidP="00B30306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127"/>
        <w:gridCol w:w="1984"/>
        <w:gridCol w:w="1701"/>
      </w:tblGrid>
      <w:tr w:rsidR="000C1BE1" w:rsidRPr="00CA1A69" w:rsidTr="004D666C">
        <w:trPr>
          <w:trHeight w:val="353"/>
        </w:trPr>
        <w:tc>
          <w:tcPr>
            <w:tcW w:w="4536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>Préparé par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4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0C1BE1" w:rsidRPr="00CA1A69" w:rsidTr="004D666C">
        <w:trPr>
          <w:trHeight w:val="352"/>
        </w:trPr>
        <w:tc>
          <w:tcPr>
            <w:tcW w:w="4536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2127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4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0C1BE1" w:rsidRPr="00CA1A69" w:rsidTr="004D666C">
        <w:trPr>
          <w:trHeight w:val="352"/>
        </w:trPr>
        <w:tc>
          <w:tcPr>
            <w:tcW w:w="4536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sz w:val="20"/>
                <w:lang w:val="fr-BE"/>
              </w:rPr>
              <w:t xml:space="preserve"> le responsable contrôle qualité</w:t>
            </w:r>
          </w:p>
        </w:tc>
        <w:tc>
          <w:tcPr>
            <w:tcW w:w="2127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984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  <w:r w:rsidRPr="00CA1A69">
              <w:rPr>
                <w:rFonts w:ascii="Arial" w:hAnsi="Arial" w:cs="Arial"/>
                <w:sz w:val="20"/>
                <w:lang w:val="fr-BE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0C1BE1" w:rsidRPr="00CA1A69" w:rsidRDefault="000C1BE1" w:rsidP="004D666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B30306" w:rsidRPr="00CA1A69" w:rsidRDefault="00B30306" w:rsidP="00B30306">
      <w:pPr>
        <w:rPr>
          <w:rFonts w:ascii="Arial" w:hAnsi="Arial" w:cs="Arial"/>
          <w:sz w:val="20"/>
          <w:szCs w:val="20"/>
        </w:rPr>
      </w:pPr>
    </w:p>
    <w:sectPr w:rsidR="00B30306" w:rsidRPr="00CA1A69" w:rsidSect="00F0317E">
      <w:headerReference w:type="default" r:id="rId8"/>
      <w:footerReference w:type="even" r:id="rId9"/>
      <w:footerReference w:type="default" r:id="rId10"/>
      <w:pgSz w:w="12240" w:h="15840" w:code="1"/>
      <w:pgMar w:top="824" w:right="936" w:bottom="720" w:left="1224" w:header="284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</wne:keymaps>
  <wne:toolbars>
    <wne:acdManifest>
      <wne:acdEntry wne:acdName="acd0"/>
    </wne:acdManifest>
  </wne:toolbars>
  <wne:acds>
    <wne:acd wne:argValue="AgBfAEIAdQBsAGwAZQB0AF8ATABlAHYAZQBsADE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8A" w:rsidRDefault="002A0E8A">
      <w:r>
        <w:separator/>
      </w:r>
    </w:p>
  </w:endnote>
  <w:endnote w:type="continuationSeparator" w:id="0">
    <w:p w:rsidR="002A0E8A" w:rsidRDefault="002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A" w:rsidRDefault="002A0E8A" w:rsidP="00ED701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A0E8A" w:rsidRDefault="002A0E8A" w:rsidP="00684D1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A" w:rsidRPr="00ED7E8B" w:rsidRDefault="002A0E8A" w:rsidP="000C1BE1">
    <w:pPr>
      <w:jc w:val="right"/>
      <w:rPr>
        <w:rStyle w:val="PageNumber"/>
        <w:rFonts w:ascii="Arial" w:hAnsi="Arial" w:cs="Arial"/>
        <w:sz w:val="18"/>
        <w:szCs w:val="18"/>
      </w:rPr>
    </w:pPr>
    <w:r w:rsidRPr="00ED7E8B">
      <w:rPr>
        <w:rStyle w:val="PageNumber"/>
        <w:rFonts w:ascii="Arial" w:hAnsi="Arial" w:cs="Arial"/>
        <w:sz w:val="18"/>
        <w:szCs w:val="18"/>
      </w:rPr>
      <w:fldChar w:fldCharType="begin"/>
    </w:r>
    <w:r w:rsidRPr="00ED7E8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D7E8B">
      <w:rPr>
        <w:rStyle w:val="PageNumber"/>
        <w:rFonts w:ascii="Arial" w:hAnsi="Arial" w:cs="Arial"/>
        <w:sz w:val="18"/>
        <w:szCs w:val="18"/>
      </w:rPr>
      <w:fldChar w:fldCharType="separate"/>
    </w:r>
    <w:r w:rsidR="00513D4A">
      <w:rPr>
        <w:rStyle w:val="PageNumber"/>
        <w:rFonts w:ascii="Arial" w:hAnsi="Arial" w:cs="Arial"/>
        <w:noProof/>
        <w:sz w:val="18"/>
        <w:szCs w:val="18"/>
      </w:rPr>
      <w:t>1</w:t>
    </w:r>
    <w:r w:rsidRPr="00ED7E8B">
      <w:rPr>
        <w:rStyle w:val="PageNumber"/>
        <w:rFonts w:ascii="Arial" w:hAnsi="Arial" w:cs="Arial"/>
        <w:sz w:val="18"/>
        <w:szCs w:val="18"/>
      </w:rPr>
      <w:fldChar w:fldCharType="end"/>
    </w:r>
    <w:r w:rsidRPr="00ED7E8B">
      <w:rPr>
        <w:rStyle w:val="PageNumber"/>
        <w:rFonts w:ascii="Arial" w:hAnsi="Arial" w:cs="Arial"/>
        <w:sz w:val="18"/>
        <w:szCs w:val="18"/>
      </w:rPr>
      <w:t>/</w:t>
    </w:r>
    <w:r w:rsidRPr="00ED7E8B">
      <w:rPr>
        <w:rStyle w:val="PageNumber"/>
        <w:rFonts w:ascii="Arial" w:hAnsi="Arial" w:cs="Arial"/>
        <w:sz w:val="18"/>
        <w:szCs w:val="18"/>
      </w:rPr>
      <w:fldChar w:fldCharType="begin"/>
    </w:r>
    <w:r w:rsidRPr="00ED7E8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ED7E8B">
      <w:rPr>
        <w:rStyle w:val="PageNumber"/>
        <w:rFonts w:ascii="Arial" w:hAnsi="Arial" w:cs="Arial"/>
        <w:sz w:val="18"/>
        <w:szCs w:val="18"/>
      </w:rPr>
      <w:fldChar w:fldCharType="separate"/>
    </w:r>
    <w:r w:rsidR="00513D4A">
      <w:rPr>
        <w:rStyle w:val="PageNumber"/>
        <w:rFonts w:ascii="Arial" w:hAnsi="Arial" w:cs="Arial"/>
        <w:noProof/>
        <w:sz w:val="18"/>
        <w:szCs w:val="18"/>
      </w:rPr>
      <w:t>2</w:t>
    </w:r>
    <w:r w:rsidRPr="00ED7E8B">
      <w:rPr>
        <w:rStyle w:val="PageNumber"/>
        <w:rFonts w:ascii="Arial" w:hAnsi="Arial" w:cs="Arial"/>
        <w:sz w:val="18"/>
        <w:szCs w:val="18"/>
      </w:rPr>
      <w:fldChar w:fldCharType="end"/>
    </w:r>
  </w:p>
  <w:p w:rsidR="002A0E8A" w:rsidRPr="00E82EE4" w:rsidRDefault="002A0E8A" w:rsidP="008274EE">
    <w:pPr>
      <w:pStyle w:val="Footer"/>
      <w:tabs>
        <w:tab w:val="clear" w:pos="4320"/>
        <w:tab w:val="clear" w:pos="8640"/>
        <w:tab w:val="right" w:pos="10080"/>
      </w:tabs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8A" w:rsidRDefault="002A0E8A">
      <w:r>
        <w:separator/>
      </w:r>
    </w:p>
  </w:footnote>
  <w:footnote w:type="continuationSeparator" w:id="0">
    <w:p w:rsidR="002A0E8A" w:rsidRDefault="002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A" w:rsidRDefault="002A0E8A" w:rsidP="00987E5E">
    <w:pPr>
      <w:rPr>
        <w:rFonts w:ascii="Arial" w:hAnsi="Arial" w:cs="Arial"/>
        <w:b/>
      </w:rPr>
    </w:pPr>
    <w:r w:rsidRPr="00987E5E">
      <w:rPr>
        <w:rFonts w:ascii="Arial" w:hAnsi="Arial" w:cs="Arial"/>
        <w:b/>
      </w:rPr>
      <w:t>C</w:t>
    </w:r>
    <w:r>
      <w:rPr>
        <w:rFonts w:ascii="Arial" w:hAnsi="Arial" w:cs="Arial"/>
        <w:b/>
      </w:rPr>
      <w:t>heck-list C3</w:t>
    </w:r>
    <w:r w:rsidRPr="00987E5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– Conformité avec les lois et ré</w:t>
    </w:r>
    <w:r w:rsidRPr="00987E5E">
      <w:rPr>
        <w:rFonts w:ascii="Arial" w:hAnsi="Arial" w:cs="Arial"/>
        <w:b/>
      </w:rPr>
      <w:t xml:space="preserve">glementations </w:t>
    </w:r>
  </w:p>
  <w:p w:rsidR="002A0E8A" w:rsidRPr="00987E5E" w:rsidRDefault="002A0E8A" w:rsidP="00F6381D">
    <w:pPr>
      <w:pStyle w:val="Header"/>
      <w:tabs>
        <w:tab w:val="clear" w:pos="10800"/>
        <w:tab w:val="right" w:pos="10080"/>
      </w:tabs>
      <w:rPr>
        <w:rStyle w:val="PageNumber"/>
        <w:lang w:val="fr-BE"/>
      </w:rPr>
    </w:pPr>
    <w:r w:rsidRPr="00CB046A">
      <w:rPr>
        <w:rFonts w:ascii="Arial" w:hAnsi="Arial" w:cs="Arial"/>
        <w:b w:val="0"/>
        <w:sz w:val="18"/>
        <w:szCs w:val="18"/>
        <w:lang w:val="fr-FR"/>
      </w:rPr>
      <w:tab/>
    </w:r>
    <w:r w:rsidRPr="00690653">
      <w:rPr>
        <w:rStyle w:val="HeaderPageChar"/>
        <w:sz w:val="3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2E"/>
    <w:multiLevelType w:val="hybridMultilevel"/>
    <w:tmpl w:val="4344EC6A"/>
    <w:lvl w:ilvl="0" w:tplc="3C643142">
      <w:start w:val="1"/>
      <w:numFmt w:val="bullet"/>
      <w:pStyle w:val="BulletLevel2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4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F24B6B"/>
    <w:multiLevelType w:val="hybridMultilevel"/>
    <w:tmpl w:val="56268C00"/>
    <w:lvl w:ilvl="0" w:tplc="8542D1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949E0"/>
    <w:multiLevelType w:val="hybridMultilevel"/>
    <w:tmpl w:val="F702B82E"/>
    <w:lvl w:ilvl="0" w:tplc="ACE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2465FC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328FF"/>
    <w:multiLevelType w:val="multilevel"/>
    <w:tmpl w:val="F8BA9798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6337"/>
    <w:multiLevelType w:val="multilevel"/>
    <w:tmpl w:val="91BC70E0"/>
    <w:lvl w:ilvl="0">
      <w:start w:val="1"/>
      <w:numFmt w:val="bullet"/>
      <w:lvlText w:val=""/>
      <w:lvlJc w:val="left"/>
      <w:pPr>
        <w:tabs>
          <w:tab w:val="num" w:pos="216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728DA"/>
    <w:multiLevelType w:val="hybridMultilevel"/>
    <w:tmpl w:val="C6567C12"/>
    <w:lvl w:ilvl="0" w:tplc="F3E6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9F"/>
    <w:multiLevelType w:val="hybridMultilevel"/>
    <w:tmpl w:val="6562C0A8"/>
    <w:lvl w:ilvl="0" w:tplc="694C19F8">
      <w:start w:val="1"/>
      <w:numFmt w:val="lowerLetter"/>
      <w:pStyle w:val="PEMbullet2numa-b-c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A3225"/>
    <w:multiLevelType w:val="multilevel"/>
    <w:tmpl w:val="E09433AE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E4B7B"/>
    <w:multiLevelType w:val="hybridMultilevel"/>
    <w:tmpl w:val="016AB24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3621F17"/>
    <w:multiLevelType w:val="hybridMultilevel"/>
    <w:tmpl w:val="D3E6D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22F3C"/>
    <w:multiLevelType w:val="hybridMultilevel"/>
    <w:tmpl w:val="A078C400"/>
    <w:lvl w:ilvl="0" w:tplc="CE7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0AD9"/>
    <w:multiLevelType w:val="hybridMultilevel"/>
    <w:tmpl w:val="9D1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1985"/>
    <w:multiLevelType w:val="multilevel"/>
    <w:tmpl w:val="8DFC5F5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60060"/>
    <w:multiLevelType w:val="multilevel"/>
    <w:tmpl w:val="AA948DF0"/>
    <w:lvl w:ilvl="0">
      <w:start w:val="1"/>
      <w:numFmt w:val="bullet"/>
      <w:lvlText w:val=""/>
      <w:lvlJc w:val="left"/>
      <w:pPr>
        <w:tabs>
          <w:tab w:val="num" w:pos="216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E6362"/>
    <w:multiLevelType w:val="multilevel"/>
    <w:tmpl w:val="016AB24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36286CB1"/>
    <w:multiLevelType w:val="hybridMultilevel"/>
    <w:tmpl w:val="200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D571D"/>
    <w:multiLevelType w:val="multilevel"/>
    <w:tmpl w:val="8516460A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C0028"/>
    <w:multiLevelType w:val="hybridMultilevel"/>
    <w:tmpl w:val="943AF0A8"/>
    <w:lvl w:ilvl="0" w:tplc="EB02378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Trebuchet MS" w:hAnsi="Trebuchet MS" w:hint="default"/>
        <w:b/>
        <w:i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D3A52"/>
    <w:multiLevelType w:val="multilevel"/>
    <w:tmpl w:val="3C8E5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95FDE"/>
    <w:multiLevelType w:val="hybridMultilevel"/>
    <w:tmpl w:val="C24681B4"/>
    <w:lvl w:ilvl="0" w:tplc="EFCE4A5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D44E39"/>
    <w:multiLevelType w:val="multilevel"/>
    <w:tmpl w:val="B7E2FBA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C75B4"/>
    <w:multiLevelType w:val="hybridMultilevel"/>
    <w:tmpl w:val="8C6A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61A52"/>
    <w:multiLevelType w:val="multilevel"/>
    <w:tmpl w:val="C6EA9A1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911A1"/>
    <w:multiLevelType w:val="multilevel"/>
    <w:tmpl w:val="50FE85F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E681E"/>
    <w:multiLevelType w:val="hybridMultilevel"/>
    <w:tmpl w:val="C62073BC"/>
    <w:lvl w:ilvl="0" w:tplc="A1104FB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B3A86"/>
    <w:multiLevelType w:val="multilevel"/>
    <w:tmpl w:val="D814080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B6669"/>
    <w:multiLevelType w:val="hybridMultilevel"/>
    <w:tmpl w:val="645EE9B8"/>
    <w:lvl w:ilvl="0" w:tplc="CF78A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36F4C"/>
    <w:multiLevelType w:val="multilevel"/>
    <w:tmpl w:val="F5E0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73B4B"/>
    <w:multiLevelType w:val="hybridMultilevel"/>
    <w:tmpl w:val="3844090C"/>
    <w:lvl w:ilvl="0" w:tplc="6D143878">
      <w:start w:val="1"/>
      <w:numFmt w:val="decimal"/>
      <w:pStyle w:val="PEMbullet1num1-2-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557CB"/>
    <w:multiLevelType w:val="multilevel"/>
    <w:tmpl w:val="63A8780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84AC8"/>
    <w:multiLevelType w:val="hybridMultilevel"/>
    <w:tmpl w:val="4570332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6A6B596E"/>
    <w:multiLevelType w:val="hybridMultilevel"/>
    <w:tmpl w:val="B9DCC284"/>
    <w:lvl w:ilvl="0" w:tplc="FA0AEF24">
      <w:start w:val="1"/>
      <w:numFmt w:val="bullet"/>
      <w:pStyle w:val="PEMbullet1-dash"/>
      <w:lvlText w:val="—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B62CE"/>
    <w:multiLevelType w:val="hybridMultilevel"/>
    <w:tmpl w:val="098CBEBC"/>
    <w:lvl w:ilvl="0" w:tplc="AA948DA2">
      <w:start w:val="1"/>
      <w:numFmt w:val="bullet"/>
      <w:pStyle w:val="PEMbullet1-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5366F"/>
    <w:multiLevelType w:val="multilevel"/>
    <w:tmpl w:val="F9827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9206D"/>
    <w:multiLevelType w:val="hybridMultilevel"/>
    <w:tmpl w:val="5EAEB0B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6">
    <w:nsid w:val="7650228D"/>
    <w:multiLevelType w:val="multilevel"/>
    <w:tmpl w:val="5D70EA7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3347A"/>
    <w:multiLevelType w:val="hybridMultilevel"/>
    <w:tmpl w:val="77E2B000"/>
    <w:lvl w:ilvl="0" w:tplc="88B62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43418"/>
    <w:multiLevelType w:val="hybridMultilevel"/>
    <w:tmpl w:val="BD481794"/>
    <w:lvl w:ilvl="0" w:tplc="D90C2D4E">
      <w:start w:val="1"/>
      <w:numFmt w:val="lowerLetter"/>
      <w:pStyle w:val="PEMbullet1numa-b-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32"/>
  </w:num>
  <w:num w:numId="7">
    <w:abstractNumId w:val="7"/>
  </w:num>
  <w:num w:numId="8">
    <w:abstractNumId w:val="29"/>
  </w:num>
  <w:num w:numId="9">
    <w:abstractNumId w:val="38"/>
  </w:num>
  <w:num w:numId="10">
    <w:abstractNumId w:val="31"/>
  </w:num>
  <w:num w:numId="11">
    <w:abstractNumId w:val="9"/>
  </w:num>
  <w:num w:numId="12">
    <w:abstractNumId w:val="15"/>
  </w:num>
  <w:num w:numId="13">
    <w:abstractNumId w:val="35"/>
  </w:num>
  <w:num w:numId="14">
    <w:abstractNumId w:val="20"/>
  </w:num>
  <w:num w:numId="15">
    <w:abstractNumId w:val="27"/>
  </w:num>
  <w:num w:numId="16">
    <w:abstractNumId w:val="37"/>
  </w:num>
  <w:num w:numId="17">
    <w:abstractNumId w:val="3"/>
  </w:num>
  <w:num w:numId="18">
    <w:abstractNumId w:val="18"/>
  </w:num>
  <w:num w:numId="19">
    <w:abstractNumId w:val="26"/>
  </w:num>
  <w:num w:numId="20">
    <w:abstractNumId w:val="20"/>
    <w:lvlOverride w:ilvl="0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</w:num>
  <w:num w:numId="23">
    <w:abstractNumId w:val="36"/>
  </w:num>
  <w:num w:numId="24">
    <w:abstractNumId w:val="20"/>
    <w:lvlOverride w:ilvl="0">
      <w:startOverride w:val="1"/>
    </w:lvlOverride>
  </w:num>
  <w:num w:numId="25">
    <w:abstractNumId w:val="24"/>
  </w:num>
  <w:num w:numId="26">
    <w:abstractNumId w:val="20"/>
    <w:lvlOverride w:ilvl="0">
      <w:startOverride w:val="1"/>
    </w:lvlOverride>
  </w:num>
  <w:num w:numId="27">
    <w:abstractNumId w:val="34"/>
  </w:num>
  <w:num w:numId="28">
    <w:abstractNumId w:val="3"/>
    <w:lvlOverride w:ilvl="0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</w:num>
  <w:num w:numId="31">
    <w:abstractNumId w:val="8"/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5"/>
  </w:num>
  <w:num w:numId="37">
    <w:abstractNumId w:val="13"/>
  </w:num>
  <w:num w:numId="38">
    <w:abstractNumId w:val="14"/>
  </w:num>
  <w:num w:numId="39">
    <w:abstractNumId w:val="17"/>
  </w:num>
  <w:num w:numId="40">
    <w:abstractNumId w:val="5"/>
  </w:num>
  <w:num w:numId="41">
    <w:abstractNumId w:val="23"/>
  </w:num>
  <w:num w:numId="42">
    <w:abstractNumId w:val="1"/>
  </w:num>
  <w:num w:numId="43">
    <w:abstractNumId w:val="30"/>
  </w:num>
  <w:num w:numId="44">
    <w:abstractNumId w:val="19"/>
  </w:num>
  <w:num w:numId="45">
    <w:abstractNumId w:val="2"/>
  </w:num>
  <w:num w:numId="46">
    <w:abstractNumId w:val="10"/>
  </w:num>
  <w:num w:numId="47">
    <w:abstractNumId w:val="6"/>
  </w:num>
  <w:num w:numId="4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linkStyle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502F"/>
    <w:rsid w:val="00005E8D"/>
    <w:rsid w:val="00010E62"/>
    <w:rsid w:val="00013208"/>
    <w:rsid w:val="0001708C"/>
    <w:rsid w:val="000334FD"/>
    <w:rsid w:val="000336EE"/>
    <w:rsid w:val="000367D8"/>
    <w:rsid w:val="0004763A"/>
    <w:rsid w:val="000606EC"/>
    <w:rsid w:val="00081972"/>
    <w:rsid w:val="00083E38"/>
    <w:rsid w:val="000930F7"/>
    <w:rsid w:val="00095D12"/>
    <w:rsid w:val="000A22C9"/>
    <w:rsid w:val="000A34D6"/>
    <w:rsid w:val="000A7371"/>
    <w:rsid w:val="000C1BE1"/>
    <w:rsid w:val="000D5352"/>
    <w:rsid w:val="000E207B"/>
    <w:rsid w:val="000E3CA2"/>
    <w:rsid w:val="000E4C12"/>
    <w:rsid w:val="000F259A"/>
    <w:rsid w:val="000F40CB"/>
    <w:rsid w:val="000F5886"/>
    <w:rsid w:val="0010088E"/>
    <w:rsid w:val="00101E36"/>
    <w:rsid w:val="00102B11"/>
    <w:rsid w:val="0010576B"/>
    <w:rsid w:val="00112849"/>
    <w:rsid w:val="00121625"/>
    <w:rsid w:val="00123F70"/>
    <w:rsid w:val="00136AAB"/>
    <w:rsid w:val="00154D09"/>
    <w:rsid w:val="001819FF"/>
    <w:rsid w:val="00182962"/>
    <w:rsid w:val="00184723"/>
    <w:rsid w:val="0019479C"/>
    <w:rsid w:val="001A3CDE"/>
    <w:rsid w:val="001C22B2"/>
    <w:rsid w:val="001C2CBE"/>
    <w:rsid w:val="001C5772"/>
    <w:rsid w:val="001D4854"/>
    <w:rsid w:val="001F388F"/>
    <w:rsid w:val="001F4865"/>
    <w:rsid w:val="001F6C8B"/>
    <w:rsid w:val="001F7676"/>
    <w:rsid w:val="00210ECE"/>
    <w:rsid w:val="00235405"/>
    <w:rsid w:val="00251890"/>
    <w:rsid w:val="00265980"/>
    <w:rsid w:val="002820C7"/>
    <w:rsid w:val="002835E3"/>
    <w:rsid w:val="002903A0"/>
    <w:rsid w:val="00291AB3"/>
    <w:rsid w:val="002A0E8A"/>
    <w:rsid w:val="002A580E"/>
    <w:rsid w:val="002D4AC6"/>
    <w:rsid w:val="002E1E77"/>
    <w:rsid w:val="002E254E"/>
    <w:rsid w:val="002E26D8"/>
    <w:rsid w:val="002F60BD"/>
    <w:rsid w:val="003027C6"/>
    <w:rsid w:val="00314717"/>
    <w:rsid w:val="003222FF"/>
    <w:rsid w:val="0032740C"/>
    <w:rsid w:val="00331E2A"/>
    <w:rsid w:val="00354773"/>
    <w:rsid w:val="0036006A"/>
    <w:rsid w:val="003645BC"/>
    <w:rsid w:val="0036511C"/>
    <w:rsid w:val="0036788F"/>
    <w:rsid w:val="003958B8"/>
    <w:rsid w:val="003A3D31"/>
    <w:rsid w:val="003A673F"/>
    <w:rsid w:val="003A6FDC"/>
    <w:rsid w:val="003B29DD"/>
    <w:rsid w:val="003B379B"/>
    <w:rsid w:val="003C39CC"/>
    <w:rsid w:val="003D1897"/>
    <w:rsid w:val="003D2484"/>
    <w:rsid w:val="003D655B"/>
    <w:rsid w:val="00400DED"/>
    <w:rsid w:val="004148EB"/>
    <w:rsid w:val="004277AD"/>
    <w:rsid w:val="00462D4D"/>
    <w:rsid w:val="00487762"/>
    <w:rsid w:val="004B3FC9"/>
    <w:rsid w:val="004C121F"/>
    <w:rsid w:val="004C475B"/>
    <w:rsid w:val="004D030C"/>
    <w:rsid w:val="004D5A00"/>
    <w:rsid w:val="004D666C"/>
    <w:rsid w:val="0050538E"/>
    <w:rsid w:val="005079E1"/>
    <w:rsid w:val="00513D4A"/>
    <w:rsid w:val="005152F9"/>
    <w:rsid w:val="005242B3"/>
    <w:rsid w:val="00524ACA"/>
    <w:rsid w:val="0053105F"/>
    <w:rsid w:val="00533CD0"/>
    <w:rsid w:val="00533D23"/>
    <w:rsid w:val="00570FFF"/>
    <w:rsid w:val="00577935"/>
    <w:rsid w:val="005C095A"/>
    <w:rsid w:val="005D5450"/>
    <w:rsid w:val="005E147D"/>
    <w:rsid w:val="00630D28"/>
    <w:rsid w:val="0063239A"/>
    <w:rsid w:val="00642958"/>
    <w:rsid w:val="00676064"/>
    <w:rsid w:val="00684D1B"/>
    <w:rsid w:val="00690653"/>
    <w:rsid w:val="006A0959"/>
    <w:rsid w:val="006A270B"/>
    <w:rsid w:val="006C0727"/>
    <w:rsid w:val="006D7CEB"/>
    <w:rsid w:val="006F2F60"/>
    <w:rsid w:val="006F47B8"/>
    <w:rsid w:val="00701B40"/>
    <w:rsid w:val="00705F51"/>
    <w:rsid w:val="007344A6"/>
    <w:rsid w:val="00737CE0"/>
    <w:rsid w:val="0074685E"/>
    <w:rsid w:val="00746F00"/>
    <w:rsid w:val="007608EA"/>
    <w:rsid w:val="00761083"/>
    <w:rsid w:val="0078037A"/>
    <w:rsid w:val="007856F3"/>
    <w:rsid w:val="007A2294"/>
    <w:rsid w:val="007A610B"/>
    <w:rsid w:val="007A7552"/>
    <w:rsid w:val="007B3C9D"/>
    <w:rsid w:val="007B72AF"/>
    <w:rsid w:val="007B79CB"/>
    <w:rsid w:val="007C46B2"/>
    <w:rsid w:val="007C5443"/>
    <w:rsid w:val="007C5AF8"/>
    <w:rsid w:val="007C76BB"/>
    <w:rsid w:val="007D7D4E"/>
    <w:rsid w:val="007E261B"/>
    <w:rsid w:val="007E513D"/>
    <w:rsid w:val="007F0BFD"/>
    <w:rsid w:val="007F4997"/>
    <w:rsid w:val="007F525D"/>
    <w:rsid w:val="00806979"/>
    <w:rsid w:val="00807714"/>
    <w:rsid w:val="00822BCA"/>
    <w:rsid w:val="008274EE"/>
    <w:rsid w:val="0083236F"/>
    <w:rsid w:val="00836312"/>
    <w:rsid w:val="00857F40"/>
    <w:rsid w:val="00863CD9"/>
    <w:rsid w:val="0088659D"/>
    <w:rsid w:val="008906D3"/>
    <w:rsid w:val="008A6DA1"/>
    <w:rsid w:val="008B368A"/>
    <w:rsid w:val="008B6C66"/>
    <w:rsid w:val="008D330C"/>
    <w:rsid w:val="008F63A8"/>
    <w:rsid w:val="009018FB"/>
    <w:rsid w:val="00910F88"/>
    <w:rsid w:val="00912660"/>
    <w:rsid w:val="00915B70"/>
    <w:rsid w:val="00927D9C"/>
    <w:rsid w:val="0093092C"/>
    <w:rsid w:val="0093502F"/>
    <w:rsid w:val="00951C59"/>
    <w:rsid w:val="0096213F"/>
    <w:rsid w:val="00973086"/>
    <w:rsid w:val="00982988"/>
    <w:rsid w:val="00987E5E"/>
    <w:rsid w:val="009A2C31"/>
    <w:rsid w:val="009B0AC3"/>
    <w:rsid w:val="009B2B6D"/>
    <w:rsid w:val="009B4E73"/>
    <w:rsid w:val="009B506A"/>
    <w:rsid w:val="009C1901"/>
    <w:rsid w:val="009C7E19"/>
    <w:rsid w:val="009E0FA4"/>
    <w:rsid w:val="009E2CC4"/>
    <w:rsid w:val="009E5945"/>
    <w:rsid w:val="009F033C"/>
    <w:rsid w:val="009F1BF4"/>
    <w:rsid w:val="009F3A6C"/>
    <w:rsid w:val="009F77DE"/>
    <w:rsid w:val="00A03E7E"/>
    <w:rsid w:val="00A103CA"/>
    <w:rsid w:val="00A1365B"/>
    <w:rsid w:val="00A16BE8"/>
    <w:rsid w:val="00A17401"/>
    <w:rsid w:val="00A26624"/>
    <w:rsid w:val="00A42A25"/>
    <w:rsid w:val="00A540BD"/>
    <w:rsid w:val="00A54C25"/>
    <w:rsid w:val="00A54F9F"/>
    <w:rsid w:val="00A60D06"/>
    <w:rsid w:val="00A637EF"/>
    <w:rsid w:val="00A6495A"/>
    <w:rsid w:val="00A67A72"/>
    <w:rsid w:val="00A7207D"/>
    <w:rsid w:val="00A83BFD"/>
    <w:rsid w:val="00A90666"/>
    <w:rsid w:val="00AB189D"/>
    <w:rsid w:val="00AB54FE"/>
    <w:rsid w:val="00AB5AE9"/>
    <w:rsid w:val="00AB749D"/>
    <w:rsid w:val="00AC2EF4"/>
    <w:rsid w:val="00AD1BD2"/>
    <w:rsid w:val="00AD61F2"/>
    <w:rsid w:val="00AE1E77"/>
    <w:rsid w:val="00AE70B6"/>
    <w:rsid w:val="00B01D49"/>
    <w:rsid w:val="00B077EC"/>
    <w:rsid w:val="00B14986"/>
    <w:rsid w:val="00B24EF9"/>
    <w:rsid w:val="00B25B10"/>
    <w:rsid w:val="00B2782D"/>
    <w:rsid w:val="00B30306"/>
    <w:rsid w:val="00B41C5D"/>
    <w:rsid w:val="00B5457A"/>
    <w:rsid w:val="00B5744D"/>
    <w:rsid w:val="00B62739"/>
    <w:rsid w:val="00B62E12"/>
    <w:rsid w:val="00B76172"/>
    <w:rsid w:val="00B77485"/>
    <w:rsid w:val="00BA2818"/>
    <w:rsid w:val="00BB277B"/>
    <w:rsid w:val="00BB38ED"/>
    <w:rsid w:val="00BC3D10"/>
    <w:rsid w:val="00BC7D3D"/>
    <w:rsid w:val="00BD1D80"/>
    <w:rsid w:val="00BD62C6"/>
    <w:rsid w:val="00BE6D76"/>
    <w:rsid w:val="00C14B8F"/>
    <w:rsid w:val="00C16CF5"/>
    <w:rsid w:val="00C25314"/>
    <w:rsid w:val="00C33B4A"/>
    <w:rsid w:val="00C34CF9"/>
    <w:rsid w:val="00C46722"/>
    <w:rsid w:val="00C47062"/>
    <w:rsid w:val="00C50100"/>
    <w:rsid w:val="00C50E00"/>
    <w:rsid w:val="00C52B1F"/>
    <w:rsid w:val="00C66D8B"/>
    <w:rsid w:val="00C70163"/>
    <w:rsid w:val="00C81E63"/>
    <w:rsid w:val="00C8758D"/>
    <w:rsid w:val="00CA0534"/>
    <w:rsid w:val="00CA1A69"/>
    <w:rsid w:val="00CA4834"/>
    <w:rsid w:val="00CB046A"/>
    <w:rsid w:val="00CB5385"/>
    <w:rsid w:val="00CD00A0"/>
    <w:rsid w:val="00CD0EDF"/>
    <w:rsid w:val="00CD15DB"/>
    <w:rsid w:val="00CD179F"/>
    <w:rsid w:val="00CD5C44"/>
    <w:rsid w:val="00CE10ED"/>
    <w:rsid w:val="00D20905"/>
    <w:rsid w:val="00D24C36"/>
    <w:rsid w:val="00D25D7C"/>
    <w:rsid w:val="00D31C85"/>
    <w:rsid w:val="00D420D5"/>
    <w:rsid w:val="00D43C9D"/>
    <w:rsid w:val="00D53A49"/>
    <w:rsid w:val="00D61857"/>
    <w:rsid w:val="00DA4C56"/>
    <w:rsid w:val="00DC46BA"/>
    <w:rsid w:val="00DC525B"/>
    <w:rsid w:val="00DE1543"/>
    <w:rsid w:val="00E05AD4"/>
    <w:rsid w:val="00E23F56"/>
    <w:rsid w:val="00E556F4"/>
    <w:rsid w:val="00E7635D"/>
    <w:rsid w:val="00E82EDC"/>
    <w:rsid w:val="00E82EE4"/>
    <w:rsid w:val="00EA323D"/>
    <w:rsid w:val="00EC435D"/>
    <w:rsid w:val="00EC5BA2"/>
    <w:rsid w:val="00EC6357"/>
    <w:rsid w:val="00ED5D76"/>
    <w:rsid w:val="00ED701C"/>
    <w:rsid w:val="00ED7E8B"/>
    <w:rsid w:val="00EE003E"/>
    <w:rsid w:val="00EE1D17"/>
    <w:rsid w:val="00EE53B6"/>
    <w:rsid w:val="00EE62C7"/>
    <w:rsid w:val="00F0317E"/>
    <w:rsid w:val="00F419D9"/>
    <w:rsid w:val="00F46CCD"/>
    <w:rsid w:val="00F61A53"/>
    <w:rsid w:val="00F624D4"/>
    <w:rsid w:val="00F6381D"/>
    <w:rsid w:val="00F654C7"/>
    <w:rsid w:val="00F662C0"/>
    <w:rsid w:val="00F71A72"/>
    <w:rsid w:val="00F85C68"/>
    <w:rsid w:val="00FA56C0"/>
    <w:rsid w:val="00FC517A"/>
    <w:rsid w:val="00FC63D1"/>
    <w:rsid w:val="00FD2F96"/>
    <w:rsid w:val="00FD54B5"/>
    <w:rsid w:val="00FE0C4C"/>
    <w:rsid w:val="00FE2353"/>
    <w:rsid w:val="00FF1DE7"/>
    <w:rsid w:val="00FF2E2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BE1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rsid w:val="003D1897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D189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0C1BE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1BE1"/>
  </w:style>
  <w:style w:type="paragraph" w:styleId="BalloonText">
    <w:name w:val="Balloon Text"/>
    <w:basedOn w:val="Normal"/>
    <w:semiHidden/>
    <w:rsid w:val="003D1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D1897"/>
    <w:rPr>
      <w:sz w:val="16"/>
      <w:szCs w:val="16"/>
    </w:rPr>
  </w:style>
  <w:style w:type="paragraph" w:styleId="CommentText">
    <w:name w:val="annotation text"/>
    <w:basedOn w:val="Normal"/>
    <w:semiHidden/>
    <w:rsid w:val="003D18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1897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3D1897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link w:val="BodyTextWithAbove"/>
    <w:rsid w:val="003D1897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autoRedefine/>
    <w:rsid w:val="003D1897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3D1897"/>
    <w:pPr>
      <w:tabs>
        <w:tab w:val="left" w:leader="underscore" w:pos="7920"/>
      </w:tabs>
    </w:pPr>
    <w:rPr>
      <w:rFonts w:ascii="Trebuchet MS" w:hAnsi="Trebuchet MS"/>
      <w:spacing w:val="-5"/>
      <w:sz w:val="17"/>
      <w:szCs w:val="22"/>
      <w:lang w:val="en-US" w:eastAsia="en-US"/>
    </w:rPr>
  </w:style>
  <w:style w:type="character" w:customStyle="1" w:styleId="ClientInfoCharChar">
    <w:name w:val="_Client_Info Char Char"/>
    <w:link w:val="ClientInfo"/>
    <w:rsid w:val="003D1897"/>
    <w:rPr>
      <w:rFonts w:ascii="Trebuchet MS" w:hAnsi="Trebuchet MS"/>
      <w:spacing w:val="-5"/>
      <w:sz w:val="17"/>
      <w:szCs w:val="22"/>
      <w:lang w:val="en-US" w:eastAsia="en-US" w:bidi="ar-SA"/>
    </w:rPr>
  </w:style>
  <w:style w:type="paragraph" w:customStyle="1" w:styleId="HeadLevel1">
    <w:name w:val="_Head_Level1"/>
    <w:link w:val="HeadLevel1CharChar"/>
    <w:autoRedefine/>
    <w:rsid w:val="003D1897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link w:val="HeadLevel1"/>
    <w:rsid w:val="003D1897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3D1897"/>
    <w:pPr>
      <w:tabs>
        <w:tab w:val="left" w:pos="360"/>
        <w:tab w:val="left" w:pos="504"/>
      </w:tabs>
      <w:spacing w:line="210" w:lineRule="exact"/>
      <w:ind w:left="360" w:hanging="360"/>
    </w:pPr>
    <w:rPr>
      <w:rFonts w:ascii="Trebuchet MS" w:hAnsi="Trebuchet MS"/>
      <w:b/>
      <w:spacing w:val="-5"/>
      <w:sz w:val="17"/>
      <w:szCs w:val="17"/>
      <w:lang w:val="en-US" w:eastAsia="en-US"/>
    </w:rPr>
  </w:style>
  <w:style w:type="character" w:customStyle="1" w:styleId="HeadLevel2BoldNumsChar">
    <w:name w:val="_Head_Level2_(Bold_Nums) Char"/>
    <w:link w:val="HeadLevel2BoldNums"/>
    <w:rsid w:val="003D1897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customStyle="1" w:styleId="HeadLevel2NoBoldNums">
    <w:name w:val="_Head_Level2_(NoBold_Nums)"/>
    <w:link w:val="HeadLevel2NoBoldNumsChar"/>
    <w:autoRedefine/>
    <w:rsid w:val="00A67A72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HeadLevel2NoBoldNumsChar">
    <w:name w:val="_Head_Level2_(NoBold_Nums) Char"/>
    <w:basedOn w:val="HeadLevel2BoldNumsChar"/>
    <w:link w:val="HeadLevel2NoBoldNums"/>
    <w:rsid w:val="00A67A72"/>
  </w:style>
  <w:style w:type="paragraph" w:styleId="Header">
    <w:name w:val="header"/>
    <w:aliases w:val="HeaPEM_Header"/>
    <w:link w:val="HeaderChar"/>
    <w:rsid w:val="003D1897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3D1897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 Char Char"/>
    <w:link w:val="Header"/>
    <w:rsid w:val="00973086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link w:val="HeaderNumber"/>
    <w:rsid w:val="003D1897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link w:val="HeaderPageChar"/>
    <w:autoRedefine/>
    <w:rsid w:val="000C1BE1"/>
    <w:pPr>
      <w:tabs>
        <w:tab w:val="right" w:pos="10080"/>
      </w:tabs>
      <w:spacing w:after="240"/>
      <w:jc w:val="right"/>
    </w:pPr>
    <w:rPr>
      <w:rFonts w:ascii="Arial" w:hAnsi="Arial" w:cs="Arial"/>
      <w:spacing w:val="-5"/>
      <w:sz w:val="22"/>
      <w:szCs w:val="22"/>
      <w:lang w:val="en-US" w:eastAsia="en-US"/>
    </w:rPr>
  </w:style>
  <w:style w:type="paragraph" w:customStyle="1" w:styleId="LettersLevel1">
    <w:name w:val="_Letters_Level1"/>
    <w:autoRedefine/>
    <w:rsid w:val="003D1897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link w:val="LettersLevel2Char"/>
    <w:autoRedefine/>
    <w:rsid w:val="00705F51"/>
    <w:pPr>
      <w:ind w:left="72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Note">
    <w:name w:val="_Note"/>
    <w:autoRedefine/>
    <w:rsid w:val="003D1897"/>
    <w:pPr>
      <w:spacing w:before="240" w:after="240"/>
    </w:pPr>
    <w:rPr>
      <w:rFonts w:ascii="Trebuchet MS" w:hAnsi="Trebuchet MS"/>
      <w:i/>
      <w:spacing w:val="-5"/>
      <w:sz w:val="17"/>
      <w:lang w:val="en-US" w:eastAsia="en-US"/>
    </w:rPr>
  </w:style>
  <w:style w:type="paragraph" w:customStyle="1" w:styleId="TableEntryLetters">
    <w:name w:val="_Table_Entry_Letters"/>
    <w:autoRedefine/>
    <w:rsid w:val="003D1897"/>
    <w:rPr>
      <w:rFonts w:ascii="Trebuchet MS" w:hAnsi="Trebuchet MS"/>
      <w:spacing w:val="-5"/>
      <w:sz w:val="17"/>
      <w:lang w:val="en-US" w:eastAsia="en-US"/>
    </w:rPr>
  </w:style>
  <w:style w:type="paragraph" w:customStyle="1" w:styleId="TableHeadLevel1">
    <w:name w:val="_Table_Head_Level1"/>
    <w:autoRedefine/>
    <w:rsid w:val="003D1897"/>
    <w:rPr>
      <w:rFonts w:ascii="Trebuchet MS" w:hAnsi="Trebuchet MS"/>
      <w:spacing w:val="-5"/>
      <w:sz w:val="17"/>
      <w:szCs w:val="16"/>
      <w:lang w:val="en-US" w:eastAsia="en-US"/>
    </w:rPr>
  </w:style>
  <w:style w:type="paragraph" w:styleId="Footer">
    <w:name w:val="footer"/>
    <w:basedOn w:val="Normal"/>
    <w:rsid w:val="003D18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1897"/>
  </w:style>
  <w:style w:type="character" w:customStyle="1" w:styleId="HeaderPageChar">
    <w:name w:val="_Header_Page# Char"/>
    <w:link w:val="HeaderPage"/>
    <w:rsid w:val="000C1BE1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LettersLevel2Char">
    <w:name w:val="_Letters_Level2 Char"/>
    <w:link w:val="LettersLevel2"/>
    <w:rsid w:val="00705F51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2">
    <w:name w:val="_Bullet_Level2"/>
    <w:autoRedefine/>
    <w:rsid w:val="003D1897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TableHead2">
    <w:name w:val="PEM_Table_Head2"/>
    <w:basedOn w:val="PEMNormal"/>
    <w:rsid w:val="003D1897"/>
    <w:rPr>
      <w:b/>
    </w:rPr>
  </w:style>
  <w:style w:type="paragraph" w:customStyle="1" w:styleId="PEMIndnt1">
    <w:name w:val="PEM_Indnt1"/>
    <w:link w:val="PEMIndnt1CharChar"/>
    <w:rsid w:val="003D1897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3D1897"/>
  </w:style>
  <w:style w:type="character" w:customStyle="1" w:styleId="HeaderChar">
    <w:name w:val="Header Char"/>
    <w:aliases w:val="HeaPEM_Header Char"/>
    <w:link w:val="Header"/>
    <w:rsid w:val="003D1897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3D1897"/>
    <w:pPr>
      <w:tabs>
        <w:tab w:val="right" w:pos="1008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3D1897"/>
    <w:pPr>
      <w:ind w:left="720"/>
    </w:pPr>
  </w:style>
  <w:style w:type="paragraph" w:customStyle="1" w:styleId="PEMTableHead1">
    <w:name w:val="PEM_Table_Head1"/>
    <w:rsid w:val="003D1897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link w:val="PEMheader-pageXofX"/>
    <w:rsid w:val="003D1897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link w:val="PEMIndnt2"/>
    <w:rsid w:val="003D1897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3D1897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rsid w:val="003D1897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3D1897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3D1897"/>
    <w:pPr>
      <w:ind w:left="1080"/>
    </w:pPr>
  </w:style>
  <w:style w:type="paragraph" w:customStyle="1" w:styleId="PEMfooter">
    <w:name w:val="PEM_footer"/>
    <w:rsid w:val="003D1897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3D1897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3D1897"/>
    <w:pPr>
      <w:ind w:left="720"/>
    </w:pPr>
  </w:style>
  <w:style w:type="paragraph" w:customStyle="1" w:styleId="PEMIndnt3">
    <w:name w:val="PEM_Indnt3"/>
    <w:basedOn w:val="PEMIndnt1"/>
    <w:rsid w:val="003D1897"/>
    <w:pPr>
      <w:ind w:left="1080"/>
    </w:pPr>
  </w:style>
  <w:style w:type="paragraph" w:customStyle="1" w:styleId="PEMbullet1-dash">
    <w:name w:val="PEM_bullet1-dash"/>
    <w:rsid w:val="003D1897"/>
    <w:pPr>
      <w:numPr>
        <w:numId w:val="6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3D1897"/>
    <w:pPr>
      <w:ind w:left="720"/>
    </w:pPr>
  </w:style>
  <w:style w:type="paragraph" w:customStyle="1" w:styleId="PEMbullet3-dash">
    <w:name w:val="PEM_bullet3-dash"/>
    <w:basedOn w:val="PEMbullet2-dash"/>
    <w:rsid w:val="003D1897"/>
    <w:pPr>
      <w:ind w:left="1080"/>
    </w:pPr>
  </w:style>
  <w:style w:type="paragraph" w:customStyle="1" w:styleId="PEMbullet1num1-2-3">
    <w:name w:val="PEM_bullet1_num_1-2-3"/>
    <w:rsid w:val="003D1897"/>
    <w:pPr>
      <w:numPr>
        <w:numId w:val="8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3D1897"/>
    <w:pPr>
      <w:numPr>
        <w:numId w:val="7"/>
      </w:numPr>
    </w:pPr>
  </w:style>
  <w:style w:type="paragraph" w:customStyle="1" w:styleId="PEMNormalpara1">
    <w:name w:val="PEM_Normal para1"/>
    <w:basedOn w:val="PEMNormal"/>
    <w:rsid w:val="003D1897"/>
    <w:pPr>
      <w:spacing w:before="0"/>
    </w:pPr>
  </w:style>
  <w:style w:type="paragraph" w:customStyle="1" w:styleId="PEMbullet2numa-b-cabv">
    <w:name w:val="PEM_bullet2_num_a)-b)-c) abv"/>
    <w:basedOn w:val="PEMbullet2numa-b-c"/>
    <w:rsid w:val="003D1897"/>
    <w:pPr>
      <w:spacing w:before="170"/>
    </w:pPr>
  </w:style>
  <w:style w:type="paragraph" w:customStyle="1" w:styleId="PEMbullet1num1-2-3abv">
    <w:name w:val="PEM_bullet1_num_1-2-3 abv"/>
    <w:basedOn w:val="PEMbullet1num1-2-3"/>
    <w:rsid w:val="003D1897"/>
    <w:pPr>
      <w:spacing w:before="170"/>
    </w:pPr>
  </w:style>
  <w:style w:type="paragraph" w:customStyle="1" w:styleId="PEMbullet1-dashabv">
    <w:name w:val="PEM_bullet1-dash abv"/>
    <w:basedOn w:val="PEMbullet1-dash"/>
    <w:rsid w:val="003D1897"/>
    <w:pPr>
      <w:spacing w:before="170"/>
    </w:pPr>
  </w:style>
  <w:style w:type="paragraph" w:customStyle="1" w:styleId="PEMbullet1-dotabv">
    <w:name w:val="PEM_bullet1-dot abv"/>
    <w:basedOn w:val="PEMbullet1-dot"/>
    <w:rsid w:val="003D1897"/>
    <w:pPr>
      <w:spacing w:before="170"/>
    </w:pPr>
  </w:style>
  <w:style w:type="paragraph" w:customStyle="1" w:styleId="PEMbullet2-dotabv">
    <w:name w:val="PEM_bullet2-dot abv"/>
    <w:basedOn w:val="PEMbullet2-dot"/>
    <w:rsid w:val="003D1897"/>
    <w:pPr>
      <w:spacing w:before="170"/>
    </w:pPr>
  </w:style>
  <w:style w:type="paragraph" w:customStyle="1" w:styleId="PEMbullet3-dotabv">
    <w:name w:val="PEM_bullet3-dot abv"/>
    <w:basedOn w:val="PEMbullet3-dot"/>
    <w:rsid w:val="003D1897"/>
    <w:pPr>
      <w:spacing w:before="170"/>
    </w:pPr>
  </w:style>
  <w:style w:type="paragraph" w:customStyle="1" w:styleId="PEMbullet3-dashabv">
    <w:name w:val="PEM_bullet3-dash abv"/>
    <w:basedOn w:val="PEMbullet3-dash"/>
    <w:rsid w:val="003D1897"/>
    <w:pPr>
      <w:spacing w:before="170"/>
    </w:pPr>
  </w:style>
  <w:style w:type="paragraph" w:customStyle="1" w:styleId="PEMbullet2-dashabv">
    <w:name w:val="PEM_bullet2-dash abv"/>
    <w:basedOn w:val="PEMbullet2-dash"/>
    <w:rsid w:val="003D1897"/>
    <w:pPr>
      <w:spacing w:before="170"/>
    </w:pPr>
  </w:style>
  <w:style w:type="paragraph" w:customStyle="1" w:styleId="PEMbullet2body">
    <w:name w:val="PEM_bullet2 body"/>
    <w:rsid w:val="003D1897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3D1897"/>
    <w:pPr>
      <w:spacing w:before="170"/>
    </w:pPr>
  </w:style>
  <w:style w:type="paragraph" w:customStyle="1" w:styleId="PEMbullet1numa-b-c">
    <w:name w:val="PEM_bullet1_num_a)-b)-c)"/>
    <w:rsid w:val="003D1897"/>
    <w:pPr>
      <w:numPr>
        <w:numId w:val="9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3D1897"/>
    <w:pPr>
      <w:spacing w:before="170"/>
    </w:pPr>
  </w:style>
  <w:style w:type="paragraph" w:customStyle="1" w:styleId="PEMbullet2list-chkmrk">
    <w:name w:val="PEM_bullet2_list-chkmrk"/>
    <w:rsid w:val="003D1897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3D1897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3D1897"/>
    <w:pPr>
      <w:ind w:left="360"/>
    </w:pPr>
  </w:style>
  <w:style w:type="paragraph" w:customStyle="1" w:styleId="PEMbullet1list-chkmrk">
    <w:name w:val="PEM_bullet1_list-chkmrk"/>
    <w:basedOn w:val="PEMbullet1list-chkmrkabv"/>
    <w:rsid w:val="003D1897"/>
    <w:pPr>
      <w:spacing w:before="0"/>
    </w:pPr>
  </w:style>
  <w:style w:type="paragraph" w:customStyle="1" w:styleId="PEMbullet3list-chkmrkabv">
    <w:name w:val="PEM_bullet3_list-chkmrk abv"/>
    <w:basedOn w:val="PEMbullet1list-chkmrk"/>
    <w:rsid w:val="003D1897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3D1897"/>
    <w:pPr>
      <w:ind w:left="720"/>
    </w:pPr>
  </w:style>
  <w:style w:type="paragraph" w:customStyle="1" w:styleId="PEMbullet3body">
    <w:name w:val="PEM_bullet3 body"/>
    <w:basedOn w:val="PEMbullet3bodyabv"/>
    <w:rsid w:val="003D1897"/>
    <w:pPr>
      <w:spacing w:before="0"/>
    </w:pPr>
  </w:style>
  <w:style w:type="paragraph" w:customStyle="1" w:styleId="PEMbullet3list-chkmrk">
    <w:name w:val="PEM_bullet3_list-chkmrk"/>
    <w:basedOn w:val="PEMbullet3list-chkmrkabv"/>
    <w:rsid w:val="003D1897"/>
    <w:pPr>
      <w:spacing w:before="0"/>
    </w:pPr>
  </w:style>
  <w:style w:type="paragraph" w:customStyle="1" w:styleId="PEMfooter-lndscpe">
    <w:name w:val="PEM_footer-lndscpe"/>
    <w:basedOn w:val="PEMfooter"/>
    <w:rsid w:val="003D1897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3D1897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3D1897"/>
    <w:pPr>
      <w:tabs>
        <w:tab w:val="clear" w:pos="10080"/>
        <w:tab w:val="right" w:pos="13680"/>
      </w:tabs>
    </w:pPr>
  </w:style>
  <w:style w:type="paragraph" w:customStyle="1" w:styleId="Vrijevorm">
    <w:name w:val="Vrije vorm"/>
    <w:rsid w:val="000E207B"/>
    <w:rPr>
      <w:rFonts w:ascii="Helvetica" w:eastAsia="ヒラギノ角ゴ Pro W3" w:hAnsi="Helvetica"/>
      <w:color w:val="000000"/>
      <w:sz w:val="24"/>
      <w:lang w:val="nl-NL"/>
    </w:rPr>
  </w:style>
  <w:style w:type="paragraph" w:styleId="Revision">
    <w:name w:val="Revision"/>
    <w:hidden/>
    <w:uiPriority w:val="99"/>
    <w:semiHidden/>
    <w:rsid w:val="00F0317E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MPT7ECPAHCR6-758363236-86</_dlc_DocId>
    <_dlc_DocIdUrl xmlns="90359a4a-3ee0-4d21-9975-9d02abdd1639">
      <Url>https://doc.icci.be/fr/_layouts/15/DocIdRedir.aspx?ID=MPT7ECPAHCR6-758363236-86</Url>
      <Description>MPT7ECPAHCR6-758363236-86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55636-178B-493B-BAE6-63F637F17E94}"/>
</file>

<file path=customXml/itemProps2.xml><?xml version="1.0" encoding="utf-8"?>
<ds:datastoreItem xmlns:ds="http://schemas.openxmlformats.org/officeDocument/2006/customXml" ds:itemID="{39620F87-6F1B-4EF2-95A7-8FB2A35AA395}"/>
</file>

<file path=customXml/itemProps3.xml><?xml version="1.0" encoding="utf-8"?>
<ds:datastoreItem xmlns:ds="http://schemas.openxmlformats.org/officeDocument/2006/customXml" ds:itemID="{60650007-F69A-4396-9C5A-B5E73AB3F5E8}"/>
</file>

<file path=customXml/itemProps4.xml><?xml version="1.0" encoding="utf-8"?>
<ds:datastoreItem xmlns:ds="http://schemas.openxmlformats.org/officeDocument/2006/customXml" ds:itemID="{A422813D-3208-480A-A302-F1C0C77E1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______________________________________________________________________________________</vt:lpstr>
    </vt:vector>
  </TitlesOfParts>
  <Company>*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______________________________________________________________________________________</dc:title>
  <dc:creator>FocusROI Inc.</dc:creator>
  <cp:lastModifiedBy>admin</cp:lastModifiedBy>
  <cp:revision>6</cp:revision>
  <cp:lastPrinted>2011-11-23T11:20:00Z</cp:lastPrinted>
  <dcterms:created xsi:type="dcterms:W3CDTF">2011-12-17T10:23:00Z</dcterms:created>
  <dcterms:modified xsi:type="dcterms:W3CDTF">2011-12-17T10:59:00Z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b3245f42-1c9f-4b06-8e61-2294448e54bb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