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29" w:rsidRPr="001A69E7" w:rsidRDefault="00C35E29">
      <w:pPr>
        <w:rPr>
          <w:rFonts w:ascii="Arial" w:hAnsi="Arial" w:cs="Arial"/>
          <w:sz w:val="20"/>
          <w:szCs w:val="20"/>
          <w:lang w:val="fr-BE"/>
        </w:rPr>
      </w:pPr>
      <w:bookmarkStart w:id="0" w:name="_GoBack"/>
      <w:bookmarkEnd w:id="0"/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3543"/>
        <w:gridCol w:w="1701"/>
        <w:gridCol w:w="2410"/>
      </w:tblGrid>
      <w:tr w:rsidR="00C35E29" w:rsidRPr="00A44E0C" w:rsidTr="00A44E0C">
        <w:trPr>
          <w:trHeight w:val="353"/>
        </w:trPr>
        <w:tc>
          <w:tcPr>
            <w:tcW w:w="5529" w:type="dxa"/>
          </w:tcPr>
          <w:p w:rsidR="00C35E29" w:rsidRPr="00A44E0C" w:rsidRDefault="00C35E29" w:rsidP="00A44E0C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A44E0C">
              <w:rPr>
                <w:rFonts w:ascii="Arial" w:hAnsi="Arial" w:cs="Arial"/>
                <w:sz w:val="20"/>
                <w:szCs w:val="20"/>
                <w:lang w:val="fr-BE" w:eastAsia="nl-BE"/>
              </w:rPr>
              <w:t xml:space="preserve">Nom du client </w:t>
            </w:r>
          </w:p>
        </w:tc>
        <w:tc>
          <w:tcPr>
            <w:tcW w:w="3543" w:type="dxa"/>
          </w:tcPr>
          <w:p w:rsidR="00C35E29" w:rsidRPr="00A44E0C" w:rsidRDefault="00C35E29" w:rsidP="00A44E0C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BE" w:eastAsia="nl-BE"/>
              </w:rPr>
            </w:pPr>
          </w:p>
        </w:tc>
        <w:tc>
          <w:tcPr>
            <w:tcW w:w="1701" w:type="dxa"/>
          </w:tcPr>
          <w:p w:rsidR="00C35E29" w:rsidRPr="00A44E0C" w:rsidRDefault="00C35E29" w:rsidP="00A44E0C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BE" w:eastAsia="nl-BE"/>
              </w:rPr>
            </w:pPr>
            <w:r w:rsidRPr="00A44E0C">
              <w:rPr>
                <w:rFonts w:ascii="Arial" w:hAnsi="Arial" w:cs="Arial"/>
                <w:sz w:val="20"/>
                <w:szCs w:val="20"/>
                <w:lang w:val="fr-BE" w:eastAsia="nl-BE"/>
              </w:rPr>
              <w:t>Exercice</w:t>
            </w:r>
          </w:p>
        </w:tc>
        <w:tc>
          <w:tcPr>
            <w:tcW w:w="2410" w:type="dxa"/>
          </w:tcPr>
          <w:p w:rsidR="00C35E29" w:rsidRPr="00A44E0C" w:rsidRDefault="00C35E29" w:rsidP="00A44E0C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BE" w:eastAsia="nl-BE"/>
              </w:rPr>
            </w:pPr>
          </w:p>
        </w:tc>
      </w:tr>
      <w:tr w:rsidR="00C35E29" w:rsidRPr="00157E2E" w:rsidTr="00A44E0C">
        <w:tc>
          <w:tcPr>
            <w:tcW w:w="5529" w:type="dxa"/>
          </w:tcPr>
          <w:p w:rsidR="00C35E29" w:rsidRPr="00A44E0C" w:rsidRDefault="00C35E29" w:rsidP="00A44E0C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BE" w:eastAsia="nl-BE"/>
              </w:rPr>
            </w:pPr>
            <w:r w:rsidRPr="00A44E0C">
              <w:rPr>
                <w:rFonts w:ascii="Arial" w:hAnsi="Arial" w:cs="Arial"/>
                <w:sz w:val="20"/>
                <w:szCs w:val="20"/>
                <w:lang w:val="fr-BE" w:eastAsia="nl-BE"/>
              </w:rPr>
              <w:t>Sujet</w:t>
            </w:r>
          </w:p>
        </w:tc>
        <w:tc>
          <w:tcPr>
            <w:tcW w:w="7654" w:type="dxa"/>
            <w:gridSpan w:val="3"/>
            <w:shd w:val="clear" w:color="auto" w:fill="BFBFBF"/>
            <w:vAlign w:val="center"/>
          </w:tcPr>
          <w:p w:rsidR="00C35E29" w:rsidRPr="00A44E0C" w:rsidRDefault="00C35E29" w:rsidP="00A44E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BE"/>
              </w:rPr>
            </w:pPr>
            <w:r w:rsidRPr="00A44E0C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BE"/>
              </w:rPr>
              <w:t>PLAN D’AUDIT DETAILLE CASH ET BANQUES</w:t>
            </w:r>
          </w:p>
        </w:tc>
      </w:tr>
    </w:tbl>
    <w:p w:rsidR="00C35E29" w:rsidRDefault="00C35E29" w:rsidP="008311D0">
      <w:pPr>
        <w:tabs>
          <w:tab w:val="left" w:pos="6480"/>
        </w:tabs>
        <w:suppressAutoHyphens/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  <w:lang w:val="fr-BE"/>
        </w:rPr>
      </w:pPr>
    </w:p>
    <w:p w:rsidR="004E05B9" w:rsidRPr="001A69E7" w:rsidRDefault="004E05B9" w:rsidP="008311D0">
      <w:pPr>
        <w:tabs>
          <w:tab w:val="left" w:pos="6480"/>
        </w:tabs>
        <w:suppressAutoHyphens/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  <w:lang w:val="fr-BE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9"/>
        <w:gridCol w:w="1134"/>
      </w:tblGrid>
      <w:tr w:rsidR="00C35E29" w:rsidRPr="00A44E0C" w:rsidTr="00A44E0C">
        <w:tc>
          <w:tcPr>
            <w:tcW w:w="12049" w:type="dxa"/>
            <w:vAlign w:val="center"/>
          </w:tcPr>
          <w:p w:rsidR="00C35E29" w:rsidRPr="00A44E0C" w:rsidRDefault="00C35E29" w:rsidP="00A44E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44E0C">
              <w:rPr>
                <w:rFonts w:ascii="Arial" w:hAnsi="Arial" w:cs="Arial"/>
                <w:b/>
                <w:sz w:val="20"/>
                <w:szCs w:val="20"/>
                <w:lang w:val="fr-BE"/>
              </w:rPr>
              <w:t>OBJECTIF</w:t>
            </w:r>
          </w:p>
        </w:tc>
        <w:tc>
          <w:tcPr>
            <w:tcW w:w="1134" w:type="dxa"/>
            <w:vAlign w:val="center"/>
          </w:tcPr>
          <w:p w:rsidR="00C35E29" w:rsidRPr="00A44E0C" w:rsidRDefault="00C35E29" w:rsidP="00A44E0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A44E0C">
              <w:rPr>
                <w:rFonts w:ascii="Arial" w:hAnsi="Arial" w:cs="Arial"/>
                <w:b/>
                <w:sz w:val="20"/>
                <w:szCs w:val="20"/>
                <w:lang w:val="fr-BE"/>
              </w:rPr>
              <w:t>ISA</w:t>
            </w:r>
          </w:p>
        </w:tc>
      </w:tr>
      <w:tr w:rsidR="00C35E29" w:rsidRPr="00A44E0C" w:rsidTr="00A44E0C">
        <w:trPr>
          <w:trHeight w:val="696"/>
        </w:trPr>
        <w:tc>
          <w:tcPr>
            <w:tcW w:w="12049" w:type="dxa"/>
          </w:tcPr>
          <w:p w:rsidR="00C35E29" w:rsidRPr="00157E2E" w:rsidRDefault="00BF1A2A" w:rsidP="00157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57E2E">
              <w:rPr>
                <w:rFonts w:ascii="Arial" w:hAnsi="Arial" w:cs="Arial"/>
                <w:sz w:val="24"/>
                <w:szCs w:val="24"/>
                <w:lang w:val="fr-FR" w:eastAsia="fr-FR"/>
              </w:rPr>
              <w:t>Répondre aux risques identifiés d’anomalies significatives en obtenant des éléments probants appropriés et suffisants pour</w:t>
            </w:r>
            <w:r w:rsidR="00157E2E">
              <w:rPr>
                <w:rFonts w:ascii="Arial" w:hAnsi="Arial" w:cs="Arial"/>
                <w:sz w:val="24"/>
                <w:szCs w:val="24"/>
                <w:lang w:val="fr-FR" w:eastAsia="fr-FR"/>
              </w:rPr>
              <w:t xml:space="preserve"> </w:t>
            </w:r>
            <w:r w:rsidRPr="00157E2E">
              <w:rPr>
                <w:rFonts w:ascii="Arial" w:hAnsi="Arial" w:cs="Arial"/>
                <w:sz w:val="24"/>
                <w:szCs w:val="24"/>
                <w:lang w:val="fr-FR" w:eastAsia="fr-FR"/>
              </w:rPr>
              <w:t>réduire les risques d’audit à un faible niveau acceptable.</w:t>
            </w:r>
          </w:p>
        </w:tc>
        <w:tc>
          <w:tcPr>
            <w:tcW w:w="1134" w:type="dxa"/>
          </w:tcPr>
          <w:p w:rsidR="00C35E29" w:rsidRPr="00A44E0C" w:rsidRDefault="00BF1A2A" w:rsidP="00A44E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fr-BE" w:eastAsia="en-GB"/>
              </w:rPr>
              <w:t>300</w:t>
            </w:r>
          </w:p>
        </w:tc>
      </w:tr>
    </w:tbl>
    <w:p w:rsidR="00C35E29" w:rsidRDefault="00C35E29" w:rsidP="00A83F99">
      <w:pPr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W w:w="867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1630"/>
        <w:gridCol w:w="1380"/>
        <w:gridCol w:w="1430"/>
        <w:gridCol w:w="1590"/>
      </w:tblGrid>
      <w:tr w:rsidR="00D54CC0" w:rsidRPr="008A0CE2" w:rsidTr="00903E29">
        <w:trPr>
          <w:trHeight w:val="255"/>
          <w:jc w:val="center"/>
        </w:trPr>
        <w:tc>
          <w:tcPr>
            <w:tcW w:w="3122" w:type="dxa"/>
            <w:tcBorders>
              <w:bottom w:val="single" w:sz="4" w:space="0" w:color="auto"/>
            </w:tcBorders>
            <w:noWrap/>
          </w:tcPr>
          <w:p w:rsidR="00D54CC0" w:rsidRPr="008A0CE2" w:rsidRDefault="00D54CC0" w:rsidP="00903E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noWrap/>
          </w:tcPr>
          <w:p w:rsidR="00D54CC0" w:rsidRPr="008A0CE2" w:rsidRDefault="00D54CC0" w:rsidP="00903E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  <w:t>C= Exhaustivité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</w:tcPr>
          <w:p w:rsidR="00D54CC0" w:rsidRPr="008A0CE2" w:rsidRDefault="00D54CC0" w:rsidP="00903E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  <w:t>E= Existence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D54CC0" w:rsidRPr="008A0CE2" w:rsidRDefault="00D54CC0" w:rsidP="00903E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  <w:t>A = Exactitude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</w:tcPr>
          <w:p w:rsidR="00D54CC0" w:rsidRPr="008A0CE2" w:rsidRDefault="00D54CC0" w:rsidP="00903E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b/>
                <w:bCs/>
                <w:sz w:val="24"/>
                <w:szCs w:val="24"/>
                <w:lang w:val="fr-FR" w:eastAsia="fr-FR"/>
              </w:rPr>
              <w:t>V= Valorisation</w:t>
            </w:r>
          </w:p>
        </w:tc>
      </w:tr>
      <w:tr w:rsidR="00D54CC0" w:rsidRPr="008A0CE2" w:rsidTr="00903E29">
        <w:trPr>
          <w:trHeight w:val="255"/>
          <w:jc w:val="center"/>
        </w:trPr>
        <w:tc>
          <w:tcPr>
            <w:tcW w:w="3122" w:type="dxa"/>
            <w:shd w:val="clear" w:color="auto" w:fill="B6DDE8" w:themeFill="accent5" w:themeFillTint="66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Réponse au Risque\RMM – Voir A4. Stratégie globale d’audit</w:t>
            </w:r>
          </w:p>
        </w:tc>
        <w:tc>
          <w:tcPr>
            <w:tcW w:w="1395" w:type="dxa"/>
            <w:shd w:val="clear" w:color="auto" w:fill="B6DDE8" w:themeFill="accent5" w:themeFillTint="66"/>
            <w:noWrap/>
          </w:tcPr>
          <w:p w:rsidR="00D54CC0" w:rsidRPr="008A0CE2" w:rsidRDefault="00D54CC0" w:rsidP="00903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E/M/F</w:t>
            </w:r>
          </w:p>
        </w:tc>
        <w:tc>
          <w:tcPr>
            <w:tcW w:w="1380" w:type="dxa"/>
            <w:shd w:val="clear" w:color="auto" w:fill="B6DDE8" w:themeFill="accent5" w:themeFillTint="66"/>
            <w:noWrap/>
          </w:tcPr>
          <w:p w:rsidR="00D54CC0" w:rsidRPr="008A0CE2" w:rsidRDefault="00D54CC0" w:rsidP="00903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E/M/F</w:t>
            </w:r>
          </w:p>
        </w:tc>
        <w:tc>
          <w:tcPr>
            <w:tcW w:w="1360" w:type="dxa"/>
            <w:shd w:val="clear" w:color="auto" w:fill="B6DDE8" w:themeFill="accent5" w:themeFillTint="66"/>
            <w:noWrap/>
          </w:tcPr>
          <w:p w:rsidR="00D54CC0" w:rsidRPr="008A0CE2" w:rsidRDefault="00D54CC0" w:rsidP="00903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E/M/F</w:t>
            </w:r>
          </w:p>
        </w:tc>
        <w:tc>
          <w:tcPr>
            <w:tcW w:w="1420" w:type="dxa"/>
            <w:shd w:val="clear" w:color="auto" w:fill="B6DDE8" w:themeFill="accent5" w:themeFillTint="66"/>
            <w:noWrap/>
          </w:tcPr>
          <w:p w:rsidR="00D54CC0" w:rsidRPr="008A0CE2" w:rsidRDefault="00D54CC0" w:rsidP="00903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E/M/F</w:t>
            </w:r>
          </w:p>
        </w:tc>
      </w:tr>
      <w:tr w:rsidR="00D54CC0" w:rsidRPr="008A0CE2" w:rsidTr="00903E29">
        <w:trPr>
          <w:trHeight w:val="255"/>
          <w:jc w:val="center"/>
        </w:trPr>
        <w:tc>
          <w:tcPr>
            <w:tcW w:w="3122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395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38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36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2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</w:tr>
      <w:tr w:rsidR="00D54CC0" w:rsidRPr="008A0CE2" w:rsidTr="00903E29">
        <w:trPr>
          <w:trHeight w:val="255"/>
          <w:jc w:val="center"/>
        </w:trPr>
        <w:tc>
          <w:tcPr>
            <w:tcW w:w="3122" w:type="dxa"/>
            <w:noWrap/>
          </w:tcPr>
          <w:p w:rsidR="00D54CC0" w:rsidRPr="008A0CE2" w:rsidRDefault="00D54CC0" w:rsidP="00D54C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Procédure de base</w:t>
            </w:r>
          </w:p>
        </w:tc>
        <w:tc>
          <w:tcPr>
            <w:tcW w:w="1395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38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36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42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D54CC0" w:rsidRPr="0097737B" w:rsidTr="00903E29">
        <w:trPr>
          <w:trHeight w:val="1364"/>
          <w:jc w:val="center"/>
        </w:trPr>
        <w:tc>
          <w:tcPr>
            <w:tcW w:w="3122" w:type="dxa"/>
            <w:noWrap/>
          </w:tcPr>
          <w:p w:rsidR="00D54CC0" w:rsidRPr="008A0CE2" w:rsidRDefault="00D54CC0" w:rsidP="00D54CC0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03" w:hanging="303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BE"/>
              </w:rPr>
              <w:t>Procédures particulière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s</w:t>
            </w:r>
            <w:r w:rsidRPr="008A0CE2">
              <w:rPr>
                <w:rFonts w:ascii="Arial" w:hAnsi="Arial" w:cs="Arial"/>
                <w:sz w:val="24"/>
                <w:szCs w:val="24"/>
                <w:lang w:val="fr-BE"/>
              </w:rPr>
              <w:t xml:space="preserve"> pour traiter des risques spécifiques.</w:t>
            </w:r>
          </w:p>
        </w:tc>
        <w:tc>
          <w:tcPr>
            <w:tcW w:w="1395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38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36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42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D54CC0" w:rsidRPr="008A0CE2" w:rsidTr="00903E29">
        <w:trPr>
          <w:trHeight w:val="255"/>
          <w:jc w:val="center"/>
        </w:trPr>
        <w:tc>
          <w:tcPr>
            <w:tcW w:w="3122" w:type="dxa"/>
            <w:noWrap/>
          </w:tcPr>
          <w:p w:rsidR="00D54CC0" w:rsidRPr="008A0CE2" w:rsidRDefault="00D54CC0" w:rsidP="00D54C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Tests de procédures</w:t>
            </w:r>
          </w:p>
        </w:tc>
        <w:tc>
          <w:tcPr>
            <w:tcW w:w="1395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38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36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20" w:type="dxa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</w:tr>
      <w:tr w:rsidR="00D54CC0" w:rsidRPr="008A0CE2" w:rsidTr="00903E29">
        <w:trPr>
          <w:trHeight w:val="255"/>
          <w:jc w:val="center"/>
        </w:trPr>
        <w:tc>
          <w:tcPr>
            <w:tcW w:w="8677" w:type="dxa"/>
            <w:gridSpan w:val="5"/>
            <w:noWrap/>
          </w:tcPr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Commentaires </w:t>
            </w:r>
          </w:p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  <w:p w:rsidR="00D54CC0" w:rsidRPr="008A0CE2" w:rsidRDefault="00D54CC0" w:rsidP="00903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A0CE2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</w:tr>
    </w:tbl>
    <w:p w:rsidR="00C35E29" w:rsidRDefault="00C35E29" w:rsidP="00A83F99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35E29" w:rsidRDefault="00C35E29" w:rsidP="00E8392C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35E29" w:rsidRDefault="00C35E29" w:rsidP="00E8392C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4E05B9" w:rsidRDefault="004E05B9" w:rsidP="00E8392C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4E05B9" w:rsidRDefault="004E05B9" w:rsidP="00E8392C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C35E29" w:rsidRPr="001A69E7" w:rsidRDefault="00C35E29" w:rsidP="00A83F99">
      <w:pPr>
        <w:jc w:val="both"/>
        <w:rPr>
          <w:rFonts w:ascii="Arial" w:hAnsi="Arial" w:cs="Arial"/>
          <w:sz w:val="20"/>
          <w:szCs w:val="20"/>
          <w:lang w:val="fr-BE"/>
        </w:rPr>
      </w:pPr>
      <w:r w:rsidRPr="00E92EBC">
        <w:rPr>
          <w:rFonts w:ascii="Arial" w:hAnsi="Arial" w:cs="Arial"/>
          <w:sz w:val="20"/>
          <w:szCs w:val="20"/>
          <w:lang w:val="fr-BE"/>
        </w:rPr>
        <w:t xml:space="preserve">Risques d'anomalie significative </w:t>
      </w:r>
      <w:r>
        <w:rPr>
          <w:rFonts w:ascii="Arial" w:hAnsi="Arial" w:cs="Arial"/>
          <w:sz w:val="20"/>
          <w:szCs w:val="20"/>
          <w:lang w:val="fr-BE"/>
        </w:rPr>
        <w:t>au</w:t>
      </w:r>
      <w:r w:rsidRPr="00E92EBC">
        <w:rPr>
          <w:rFonts w:ascii="Arial" w:hAnsi="Arial" w:cs="Arial"/>
          <w:sz w:val="20"/>
          <w:szCs w:val="20"/>
          <w:lang w:val="fr-BE"/>
        </w:rPr>
        <w:t xml:space="preserve"> niveau des </w:t>
      </w:r>
      <w:r>
        <w:rPr>
          <w:rFonts w:ascii="Arial" w:hAnsi="Arial" w:cs="Arial"/>
          <w:sz w:val="20"/>
          <w:szCs w:val="20"/>
          <w:lang w:val="fr-BE"/>
        </w:rPr>
        <w:t>comptes annuels dans le</w:t>
      </w:r>
      <w:r w:rsidR="00800923">
        <w:rPr>
          <w:rFonts w:ascii="Arial" w:hAnsi="Arial" w:cs="Arial"/>
          <w:sz w:val="20"/>
          <w:szCs w:val="20"/>
          <w:lang w:val="fr-BE"/>
        </w:rPr>
        <w:t>ur</w:t>
      </w:r>
      <w:r>
        <w:rPr>
          <w:rFonts w:ascii="Arial" w:hAnsi="Arial" w:cs="Arial"/>
          <w:sz w:val="20"/>
          <w:szCs w:val="20"/>
          <w:lang w:val="fr-BE"/>
        </w:rPr>
        <w:t xml:space="preserve"> ensemble : (élevé, moyen, faible)</w:t>
      </w: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360"/>
        <w:gridCol w:w="1197"/>
        <w:gridCol w:w="877"/>
        <w:gridCol w:w="1507"/>
        <w:gridCol w:w="1147"/>
        <w:gridCol w:w="1577"/>
        <w:gridCol w:w="1587"/>
        <w:gridCol w:w="2427"/>
      </w:tblGrid>
      <w:tr w:rsidR="00D54CC0" w:rsidRPr="00DB25E5" w:rsidTr="00D54CC0">
        <w:trPr>
          <w:trHeight w:val="165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FFFF"/>
          </w:tcPr>
          <w:p w:rsidR="00D54CC0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CCFFFF"/>
            <w:noWrap/>
          </w:tcPr>
          <w:p w:rsidR="00D54CC0" w:rsidRDefault="00D54CC0" w:rsidP="00193CB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D54CC0" w:rsidRDefault="00D54CC0" w:rsidP="00193CB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D54CC0" w:rsidRPr="00DB25E5" w:rsidRDefault="00D54CC0" w:rsidP="00193CB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Trésorerie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193CB9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C=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Exhaustivité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193CB9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E 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Existence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193CB9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A 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Exactitude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193CB9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V 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Valorisation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193CB9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Pr="00DB25E5" w:rsidRDefault="00D54CC0" w:rsidP="00C35E29">
            <w:pPr>
              <w:spacing w:before="60"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Préparé  par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193CB9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W/P référence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CCFFFF"/>
            <w:noWrap/>
          </w:tcPr>
          <w:p w:rsidR="00D54CC0" w:rsidRDefault="00D54CC0" w:rsidP="00193CB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Default="00D54CC0" w:rsidP="00193CB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Pr="00DB25E5" w:rsidRDefault="00D54CC0" w:rsidP="00193CB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Commentaires</w:t>
            </w:r>
          </w:p>
        </w:tc>
      </w:tr>
      <w:tr w:rsidR="00D54CC0" w:rsidRPr="00A44E0C" w:rsidTr="00D54CC0">
        <w:trPr>
          <w:trHeight w:val="240"/>
        </w:trPr>
        <w:tc>
          <w:tcPr>
            <w:tcW w:w="534" w:type="dxa"/>
            <w:shd w:val="pct20" w:color="auto" w:fill="auto"/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A</w:t>
            </w:r>
            <w:r w:rsidR="00AD475C">
              <w:rPr>
                <w:rFonts w:ascii="Arial" w:hAnsi="Arial" w:cs="Arial"/>
                <w:b/>
                <w:sz w:val="18"/>
                <w:szCs w:val="18"/>
                <w:lang w:val="fr-BE"/>
              </w:rPr>
              <w:t>.</w:t>
            </w:r>
          </w:p>
        </w:tc>
        <w:tc>
          <w:tcPr>
            <w:tcW w:w="13679" w:type="dxa"/>
            <w:gridSpan w:val="8"/>
            <w:shd w:val="pct20" w:color="auto" w:fill="auto"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b/>
                <w:sz w:val="18"/>
                <w:szCs w:val="18"/>
                <w:lang w:val="fr-BE"/>
              </w:rPr>
              <w:t>Procédures de base</w:t>
            </w:r>
          </w:p>
        </w:tc>
      </w:tr>
      <w:tr w:rsidR="00D54CC0" w:rsidRPr="00A44E0C" w:rsidTr="00D54CC0">
        <w:trPr>
          <w:trHeight w:val="240"/>
        </w:trPr>
        <w:tc>
          <w:tcPr>
            <w:tcW w:w="534" w:type="dxa"/>
            <w:shd w:val="pct20" w:color="auto" w:fill="auto"/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1</w:t>
            </w:r>
            <w:r w:rsidR="00AD475C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.</w:t>
            </w:r>
          </w:p>
        </w:tc>
        <w:tc>
          <w:tcPr>
            <w:tcW w:w="13679" w:type="dxa"/>
            <w:gridSpan w:val="8"/>
            <w:shd w:val="pct20" w:color="auto" w:fill="auto"/>
          </w:tcPr>
          <w:p w:rsidR="00D54CC0" w:rsidRPr="001A69E7" w:rsidRDefault="00D54CC0" w:rsidP="007D07E1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Procé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dures analytiques</w:t>
            </w:r>
          </w:p>
        </w:tc>
      </w:tr>
      <w:tr w:rsidR="00D54CC0" w:rsidRPr="00A44E0C" w:rsidTr="00D54CC0">
        <w:trPr>
          <w:trHeight w:val="1200"/>
        </w:trPr>
        <w:tc>
          <w:tcPr>
            <w:tcW w:w="534" w:type="dxa"/>
          </w:tcPr>
          <w:p w:rsidR="00D54CC0" w:rsidRPr="001A69E7" w:rsidRDefault="00D54CC0" w:rsidP="00D54CC0">
            <w:pPr>
              <w:pStyle w:val="ListParagraph"/>
              <w:spacing w:before="6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</w:tcPr>
          <w:p w:rsidR="00D54CC0" w:rsidRPr="001A69E7" w:rsidRDefault="00D54CC0" w:rsidP="00A83F99">
            <w:pPr>
              <w:pStyle w:val="ListParagraph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 xml:space="preserve">investiguer les changements significatifs intervenus dans les valeurs disponibles et les placements de trésorerie; par exemple soldes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créditeurs, soldes anormalement élevés, nouveaux comptes et ceux clôturés.</w:t>
            </w:r>
          </w:p>
        </w:tc>
        <w:tc>
          <w:tcPr>
            <w:tcW w:w="119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8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50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14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A44E0C" w:rsidTr="00D54CC0">
        <w:trPr>
          <w:trHeight w:val="960"/>
        </w:trPr>
        <w:tc>
          <w:tcPr>
            <w:tcW w:w="534" w:type="dxa"/>
            <w:tcBorders>
              <w:bottom w:val="single" w:sz="4" w:space="0" w:color="auto"/>
            </w:tcBorders>
          </w:tcPr>
          <w:p w:rsidR="00D54CC0" w:rsidRPr="001A69E7" w:rsidRDefault="00D54CC0" w:rsidP="00D54CC0">
            <w:pPr>
              <w:pStyle w:val="ListParagraph"/>
              <w:spacing w:before="6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D54CC0" w:rsidRPr="001A69E7" w:rsidRDefault="00D54CC0" w:rsidP="001A69E7">
            <w:pPr>
              <w:pStyle w:val="ListParagraph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>Tester la pertinence des charges d'intérêts et/ou les p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roduits financiers et correspondance avec</w:t>
            </w: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 xml:space="preserve"> le solde moyen (mensuel / trimestriel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).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97737B" w:rsidTr="00D54CC0">
        <w:trPr>
          <w:trHeight w:val="310"/>
        </w:trPr>
        <w:tc>
          <w:tcPr>
            <w:tcW w:w="534" w:type="dxa"/>
            <w:shd w:val="pct20" w:color="auto" w:fill="auto"/>
          </w:tcPr>
          <w:p w:rsidR="00D54CC0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2</w:t>
            </w:r>
            <w:r w:rsidR="00AD475C">
              <w:rPr>
                <w:rFonts w:ascii="Arial" w:hAnsi="Arial" w:cs="Arial"/>
                <w:b/>
                <w:sz w:val="18"/>
                <w:szCs w:val="18"/>
                <w:lang w:val="fr-BE"/>
              </w:rPr>
              <w:t>.</w:t>
            </w:r>
          </w:p>
        </w:tc>
        <w:tc>
          <w:tcPr>
            <w:tcW w:w="13679" w:type="dxa"/>
            <w:gridSpan w:val="8"/>
            <w:shd w:val="pct20" w:color="auto" w:fill="auto"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Confirmations bancaires pour tous les comptes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</w:tc>
      </w:tr>
      <w:tr w:rsidR="00D54CC0" w:rsidRPr="00A44E0C" w:rsidTr="00D54CC0">
        <w:trPr>
          <w:trHeight w:val="1200"/>
        </w:trPr>
        <w:tc>
          <w:tcPr>
            <w:tcW w:w="534" w:type="dxa"/>
            <w:tcBorders>
              <w:bottom w:val="single" w:sz="4" w:space="0" w:color="auto"/>
            </w:tcBorders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D54CC0" w:rsidRPr="001A69E7" w:rsidRDefault="00D54CC0" w:rsidP="00A83F99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>S’il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existe une raison valable pour ne pas confirmer les comptes, elle doit être justifiée dans les documents de travail.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A44E0C" w:rsidTr="00D54CC0">
        <w:trPr>
          <w:trHeight w:val="356"/>
        </w:trPr>
        <w:tc>
          <w:tcPr>
            <w:tcW w:w="534" w:type="dxa"/>
            <w:shd w:val="pct20" w:color="auto" w:fill="auto"/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3</w:t>
            </w:r>
            <w:r w:rsidR="00AD475C">
              <w:rPr>
                <w:rFonts w:ascii="Arial" w:hAnsi="Arial" w:cs="Arial"/>
                <w:b/>
                <w:sz w:val="18"/>
                <w:szCs w:val="18"/>
                <w:lang w:val="fr-BE"/>
              </w:rPr>
              <w:t>.</w:t>
            </w:r>
          </w:p>
        </w:tc>
        <w:tc>
          <w:tcPr>
            <w:tcW w:w="13679" w:type="dxa"/>
            <w:gridSpan w:val="8"/>
            <w:shd w:val="pct20" w:color="auto" w:fill="auto"/>
          </w:tcPr>
          <w:p w:rsidR="00D54CC0" w:rsidRPr="001A69E7" w:rsidRDefault="00D54CC0" w:rsidP="00A83F99">
            <w:pPr>
              <w:spacing w:before="6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Revoir la réconciliation bancaire </w:t>
            </w:r>
          </w:p>
        </w:tc>
      </w:tr>
      <w:tr w:rsidR="00D54CC0" w:rsidRPr="00A44E0C" w:rsidTr="00D54CC0">
        <w:trPr>
          <w:trHeight w:val="1620"/>
        </w:trPr>
        <w:tc>
          <w:tcPr>
            <w:tcW w:w="534" w:type="dxa"/>
          </w:tcPr>
          <w:p w:rsidR="00D54CC0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</w:tcPr>
          <w:p w:rsidR="00D54CC0" w:rsidRPr="001A69E7" w:rsidRDefault="00D54CC0" w:rsidP="008660E8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S’assurer de la correspondance </w:t>
            </w: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 xml:space="preserve">entre les extraits bancaires et la balance générale et documenter les éléments inhabituels. Tester les dépôts en transit et les chèques en attente par l'intermédiaire du </w:t>
            </w:r>
            <w:proofErr w:type="spellStart"/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>cut</w:t>
            </w:r>
            <w:proofErr w:type="spellEnd"/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>-off des extraits de banque (les relevés bancaires des mois suivants) et vice versa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.</w:t>
            </w:r>
          </w:p>
        </w:tc>
        <w:tc>
          <w:tcPr>
            <w:tcW w:w="119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8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0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14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DB25E5" w:rsidTr="00D54CC0">
        <w:trPr>
          <w:trHeight w:val="165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FFFF"/>
          </w:tcPr>
          <w:p w:rsidR="00D54CC0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CCFFFF"/>
            <w:noWrap/>
          </w:tcPr>
          <w:p w:rsidR="00D54CC0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D54CC0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D54CC0" w:rsidRPr="00DB25E5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Trésorerie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456565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C=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Exhaustivité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456565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E 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Existence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456565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A 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Exactitude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456565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V 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Valorisation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097833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Pr="00DB25E5" w:rsidRDefault="00D54CC0" w:rsidP="00097833">
            <w:pPr>
              <w:spacing w:before="60"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Préparé  par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097833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W/P référence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CCFFFF"/>
            <w:noWrap/>
          </w:tcPr>
          <w:p w:rsidR="00D54CC0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Pr="00DB25E5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Commentaires</w:t>
            </w:r>
          </w:p>
        </w:tc>
      </w:tr>
      <w:tr w:rsidR="00D54CC0" w:rsidRPr="00A44E0C" w:rsidTr="00D54CC0">
        <w:trPr>
          <w:trHeight w:val="368"/>
        </w:trPr>
        <w:tc>
          <w:tcPr>
            <w:tcW w:w="534" w:type="dxa"/>
            <w:shd w:val="pct20" w:color="auto" w:fill="auto"/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4</w:t>
            </w:r>
            <w:r w:rsidR="00AD475C">
              <w:rPr>
                <w:rFonts w:ascii="Arial" w:hAnsi="Arial" w:cs="Arial"/>
                <w:b/>
                <w:sz w:val="18"/>
                <w:szCs w:val="18"/>
                <w:lang w:val="fr-BE"/>
              </w:rPr>
              <w:t>.</w:t>
            </w:r>
          </w:p>
        </w:tc>
        <w:tc>
          <w:tcPr>
            <w:tcW w:w="13679" w:type="dxa"/>
            <w:gridSpan w:val="8"/>
            <w:shd w:val="pct20" w:color="auto" w:fill="auto"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Paiement ultérieurs </w:t>
            </w:r>
          </w:p>
        </w:tc>
      </w:tr>
      <w:tr w:rsidR="00D54CC0" w:rsidRPr="00A44E0C" w:rsidTr="00D54CC0">
        <w:trPr>
          <w:trHeight w:val="1081"/>
        </w:trPr>
        <w:tc>
          <w:tcPr>
            <w:tcW w:w="534" w:type="dxa"/>
            <w:tcBorders>
              <w:bottom w:val="single" w:sz="4" w:space="0" w:color="auto"/>
            </w:tcBorders>
          </w:tcPr>
          <w:p w:rsidR="00D54CC0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D54CC0" w:rsidRPr="001A69E7" w:rsidRDefault="00D54CC0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S</w:t>
            </w: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>électionner les décaissements &gt;_ EUR après la période clôturée et s'assurer que les transactions sont correctement enregistrées dans la bonne période.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A44E0C" w:rsidTr="00D54CC0">
        <w:trPr>
          <w:trHeight w:val="428"/>
        </w:trPr>
        <w:tc>
          <w:tcPr>
            <w:tcW w:w="534" w:type="dxa"/>
            <w:shd w:val="pct20" w:color="auto" w:fill="auto"/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5</w:t>
            </w:r>
            <w:r w:rsidR="00AD475C">
              <w:rPr>
                <w:rFonts w:ascii="Arial" w:hAnsi="Arial" w:cs="Arial"/>
                <w:b/>
                <w:sz w:val="18"/>
                <w:szCs w:val="18"/>
                <w:lang w:val="fr-BE"/>
              </w:rPr>
              <w:t>.</w:t>
            </w:r>
          </w:p>
        </w:tc>
        <w:tc>
          <w:tcPr>
            <w:tcW w:w="13679" w:type="dxa"/>
            <w:gridSpan w:val="8"/>
            <w:shd w:val="pct20" w:color="auto" w:fill="auto"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Devises étrangères </w:t>
            </w:r>
          </w:p>
        </w:tc>
      </w:tr>
      <w:tr w:rsidR="00D54CC0" w:rsidRPr="00A44E0C" w:rsidTr="00D54CC0">
        <w:trPr>
          <w:trHeight w:val="973"/>
        </w:trPr>
        <w:tc>
          <w:tcPr>
            <w:tcW w:w="534" w:type="dxa"/>
            <w:tcBorders>
              <w:bottom w:val="single" w:sz="4" w:space="0" w:color="auto"/>
            </w:tcBorders>
          </w:tcPr>
          <w:p w:rsidR="00D54CC0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D54CC0" w:rsidRPr="001A69E7" w:rsidRDefault="00D54CC0" w:rsidP="008660E8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S</w:t>
            </w: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>'assurer que tous les soldes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bancaires ont été convertis au bon taux et à la bonne période.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A44E0C" w:rsidTr="00D54CC0">
        <w:trPr>
          <w:trHeight w:val="372"/>
        </w:trPr>
        <w:tc>
          <w:tcPr>
            <w:tcW w:w="534" w:type="dxa"/>
            <w:shd w:val="pct20" w:color="auto" w:fill="auto"/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6</w:t>
            </w:r>
            <w:r w:rsidR="00AD475C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.</w:t>
            </w:r>
          </w:p>
        </w:tc>
        <w:tc>
          <w:tcPr>
            <w:tcW w:w="3360" w:type="dxa"/>
            <w:shd w:val="pct20" w:color="auto" w:fill="auto"/>
          </w:tcPr>
          <w:p w:rsidR="00D54CC0" w:rsidRPr="001A69E7" w:rsidRDefault="00D54CC0" w:rsidP="00193CB9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Compter la caisse</w:t>
            </w:r>
          </w:p>
        </w:tc>
        <w:tc>
          <w:tcPr>
            <w:tcW w:w="1197" w:type="dxa"/>
            <w:shd w:val="pct20" w:color="auto" w:fill="auto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77" w:type="dxa"/>
            <w:shd w:val="pct20" w:color="auto" w:fill="auto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507" w:type="dxa"/>
            <w:shd w:val="pct20" w:color="auto" w:fill="auto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147" w:type="dxa"/>
            <w:shd w:val="pct20" w:color="auto" w:fill="auto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shd w:val="pct20" w:color="auto" w:fill="auto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shd w:val="pct20" w:color="auto" w:fill="auto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shd w:val="pct20" w:color="auto" w:fill="auto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A44E0C" w:rsidTr="00D54CC0">
        <w:trPr>
          <w:trHeight w:val="393"/>
        </w:trPr>
        <w:tc>
          <w:tcPr>
            <w:tcW w:w="534" w:type="dxa"/>
            <w:shd w:val="pct20" w:color="auto" w:fill="auto"/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3679" w:type="dxa"/>
            <w:gridSpan w:val="8"/>
            <w:shd w:val="pct20" w:color="auto" w:fill="auto"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Transactions en espèces </w:t>
            </w:r>
          </w:p>
        </w:tc>
      </w:tr>
      <w:tr w:rsidR="00D54CC0" w:rsidRPr="00A44E0C" w:rsidTr="00D54CC0">
        <w:trPr>
          <w:trHeight w:val="1197"/>
        </w:trPr>
        <w:tc>
          <w:tcPr>
            <w:tcW w:w="534" w:type="dxa"/>
          </w:tcPr>
          <w:p w:rsidR="00D54CC0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</w:tcPr>
          <w:p w:rsidR="00D54CC0" w:rsidRPr="001A69E7" w:rsidRDefault="00D54CC0" w:rsidP="008660E8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 xml:space="preserve">valuer l'étendue des dépôts et paiements en espèces par l'examen des dépôts en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caisse, les décaissements et les chèques en espèces.</w:t>
            </w:r>
          </w:p>
        </w:tc>
        <w:tc>
          <w:tcPr>
            <w:tcW w:w="119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8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50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14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A44E0C" w:rsidTr="00D54CC0">
        <w:trPr>
          <w:trHeight w:val="240"/>
        </w:trPr>
        <w:tc>
          <w:tcPr>
            <w:tcW w:w="534" w:type="dxa"/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</w:tcPr>
          <w:p w:rsidR="00D54CC0" w:rsidRPr="001A69E7" w:rsidRDefault="00D54CC0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Si significatif, considérer : </w:t>
            </w:r>
          </w:p>
        </w:tc>
        <w:tc>
          <w:tcPr>
            <w:tcW w:w="119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0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14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97737B" w:rsidTr="00D54CC0">
        <w:trPr>
          <w:trHeight w:val="720"/>
        </w:trPr>
        <w:tc>
          <w:tcPr>
            <w:tcW w:w="534" w:type="dxa"/>
          </w:tcPr>
          <w:p w:rsidR="00D54CC0" w:rsidRDefault="00D54CC0" w:rsidP="00D54CC0">
            <w:pPr>
              <w:pStyle w:val="ListParagraph"/>
              <w:spacing w:before="6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</w:tcPr>
          <w:p w:rsidR="00D54CC0" w:rsidRPr="001A69E7" w:rsidRDefault="00D54CC0" w:rsidP="00193CB9">
            <w:pPr>
              <w:pStyle w:val="ListParagraph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s’il y existe une raison valable pour ces opérations.</w:t>
            </w:r>
          </w:p>
        </w:tc>
        <w:tc>
          <w:tcPr>
            <w:tcW w:w="119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0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14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97737B" w:rsidTr="00D54CC0">
        <w:trPr>
          <w:trHeight w:val="1230"/>
        </w:trPr>
        <w:tc>
          <w:tcPr>
            <w:tcW w:w="534" w:type="dxa"/>
          </w:tcPr>
          <w:p w:rsidR="00D54CC0" w:rsidRPr="001A69E7" w:rsidRDefault="00D54CC0" w:rsidP="00D54CC0">
            <w:pPr>
              <w:pStyle w:val="ListParagraph"/>
              <w:spacing w:before="6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</w:tcPr>
          <w:p w:rsidR="00D54CC0" w:rsidRPr="001A69E7" w:rsidRDefault="00D54CC0" w:rsidP="00193CB9">
            <w:pPr>
              <w:pStyle w:val="ListParagraph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 xml:space="preserve">concevoir et exécuter des procédures supplémentaires pour répondre à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l'exhaustivité des transactions enregistrées telles que les ventes et les décaissements.</w:t>
            </w:r>
          </w:p>
        </w:tc>
        <w:tc>
          <w:tcPr>
            <w:tcW w:w="119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0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14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97737B" w:rsidTr="00D54CC0">
        <w:trPr>
          <w:trHeight w:val="615"/>
        </w:trPr>
        <w:tc>
          <w:tcPr>
            <w:tcW w:w="534" w:type="dxa"/>
          </w:tcPr>
          <w:p w:rsidR="00D54CC0" w:rsidRDefault="00D54CC0" w:rsidP="00D54CC0">
            <w:pPr>
              <w:pStyle w:val="ListParagraph"/>
              <w:spacing w:before="60"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</w:tcPr>
          <w:p w:rsidR="00D54CC0" w:rsidRPr="001A69E7" w:rsidRDefault="00D54CC0" w:rsidP="00DA56C9">
            <w:pPr>
              <w:pStyle w:val="ListParagraph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s</w:t>
            </w: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>'assurer du respect de la réglementation anti-blanchiment.</w:t>
            </w:r>
          </w:p>
        </w:tc>
        <w:tc>
          <w:tcPr>
            <w:tcW w:w="119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0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14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  <w:tr w:rsidR="00D54CC0" w:rsidRPr="00DB25E5" w:rsidTr="00D54CC0">
        <w:trPr>
          <w:trHeight w:val="165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FFFF"/>
          </w:tcPr>
          <w:p w:rsidR="00D54CC0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CCFFFF"/>
            <w:noWrap/>
          </w:tcPr>
          <w:p w:rsidR="00D54CC0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D54CC0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D54CC0" w:rsidRPr="00DB25E5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Trésorerie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456565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C=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Exhaustivité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456565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E 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Existence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456565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A 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Exactitude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456565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V = </w:t>
            </w: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Valorisation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097833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Pr="00DB25E5" w:rsidRDefault="00D54CC0" w:rsidP="00097833">
            <w:pPr>
              <w:spacing w:before="60"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Préparé  par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DB25E5" w:rsidRDefault="00D54CC0" w:rsidP="00097833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W/P référence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CCFFFF"/>
            <w:noWrap/>
          </w:tcPr>
          <w:p w:rsidR="00D54CC0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Pr="00DB25E5" w:rsidRDefault="00D54CC0" w:rsidP="00097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B25E5">
              <w:rPr>
                <w:rFonts w:ascii="Arial" w:hAnsi="Arial" w:cs="Arial"/>
                <w:b/>
                <w:sz w:val="18"/>
                <w:szCs w:val="18"/>
                <w:lang w:val="fr-BE"/>
              </w:rPr>
              <w:t>Commentaires</w:t>
            </w:r>
          </w:p>
        </w:tc>
      </w:tr>
      <w:tr w:rsidR="00D54CC0" w:rsidRPr="00A44E0C" w:rsidTr="00D54CC0">
        <w:trPr>
          <w:trHeight w:val="346"/>
        </w:trPr>
        <w:tc>
          <w:tcPr>
            <w:tcW w:w="534" w:type="dxa"/>
            <w:shd w:val="pct20" w:color="auto" w:fill="auto"/>
          </w:tcPr>
          <w:p w:rsidR="00D54CC0" w:rsidRPr="001A69E7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7</w:t>
            </w:r>
          </w:p>
        </w:tc>
        <w:tc>
          <w:tcPr>
            <w:tcW w:w="13679" w:type="dxa"/>
            <w:gridSpan w:val="8"/>
            <w:shd w:val="pct20" w:color="auto" w:fill="auto"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A69E7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Conformité avec les accords</w:t>
            </w:r>
          </w:p>
        </w:tc>
      </w:tr>
      <w:tr w:rsidR="00D54CC0" w:rsidRPr="00A44E0C" w:rsidTr="00D54CC0">
        <w:trPr>
          <w:trHeight w:val="1920"/>
        </w:trPr>
        <w:tc>
          <w:tcPr>
            <w:tcW w:w="534" w:type="dxa"/>
          </w:tcPr>
          <w:p w:rsidR="00D54CC0" w:rsidRDefault="00D54CC0" w:rsidP="00D54CC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360" w:type="dxa"/>
          </w:tcPr>
          <w:p w:rsidR="00D54CC0" w:rsidRPr="001A69E7" w:rsidRDefault="00D54CC0" w:rsidP="008660E8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V</w:t>
            </w:r>
            <w:r w:rsidRPr="001A69E7">
              <w:rPr>
                <w:rFonts w:ascii="Arial" w:hAnsi="Arial" w:cs="Arial"/>
                <w:sz w:val="18"/>
                <w:szCs w:val="18"/>
                <w:lang w:val="fr-BE"/>
              </w:rPr>
              <w:t xml:space="preserve">érifiez que l'entité respecte toujours ces 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éventuels covenants, restrictions éventuels de retrait en espèces, solde minimum pendant la période et documenter les violations, leur résolution, et éventuellement si en cours, les plans futurs.</w:t>
            </w:r>
          </w:p>
        </w:tc>
        <w:tc>
          <w:tcPr>
            <w:tcW w:w="119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0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X</w:t>
            </w:r>
          </w:p>
        </w:tc>
        <w:tc>
          <w:tcPr>
            <w:tcW w:w="114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7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158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2427" w:type="dxa"/>
            <w:noWrap/>
          </w:tcPr>
          <w:p w:rsidR="00D54CC0" w:rsidRPr="001A69E7" w:rsidRDefault="00D54CC0" w:rsidP="00193CB9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 </w:t>
            </w:r>
          </w:p>
        </w:tc>
      </w:tr>
    </w:tbl>
    <w:p w:rsidR="00C35E29" w:rsidRDefault="00C35E29">
      <w:pPr>
        <w:rPr>
          <w:rFonts w:ascii="Arial" w:hAnsi="Arial" w:cs="Arial"/>
          <w:sz w:val="20"/>
          <w:szCs w:val="20"/>
          <w:lang w:val="fr-BE"/>
        </w:rPr>
      </w:pPr>
    </w:p>
    <w:p w:rsidR="00C35E29" w:rsidRPr="001A69E7" w:rsidRDefault="00C35E29">
      <w:pPr>
        <w:rPr>
          <w:rFonts w:ascii="Arial" w:hAnsi="Arial" w:cs="Arial"/>
          <w:sz w:val="20"/>
          <w:szCs w:val="20"/>
          <w:lang w:val="fr-BE"/>
        </w:rPr>
      </w:pPr>
    </w:p>
    <w:p w:rsidR="00C35E29" w:rsidRDefault="00C35E29" w:rsidP="00DB25E5">
      <w:pPr>
        <w:spacing w:after="0"/>
      </w:pPr>
      <w:r>
        <w:br w:type="page"/>
      </w:r>
    </w:p>
    <w:p w:rsidR="00D54CC0" w:rsidRDefault="00D54CC0" w:rsidP="00D54CC0">
      <w:pPr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W w:w="13866" w:type="dxa"/>
        <w:tblLayout w:type="fixed"/>
        <w:tblLook w:val="00A0"/>
      </w:tblPr>
      <w:tblGrid>
        <w:gridCol w:w="534"/>
        <w:gridCol w:w="4126"/>
        <w:gridCol w:w="569"/>
        <w:gridCol w:w="709"/>
        <w:gridCol w:w="1134"/>
        <w:gridCol w:w="992"/>
        <w:gridCol w:w="1134"/>
        <w:gridCol w:w="992"/>
        <w:gridCol w:w="3676"/>
      </w:tblGrid>
      <w:tr w:rsidR="00D54CC0" w:rsidRPr="008A0CE2" w:rsidTr="00903E29">
        <w:trPr>
          <w:trHeight w:val="1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54CC0" w:rsidRPr="008A0CE2" w:rsidRDefault="00D54CC0" w:rsidP="00903E2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D54CC0" w:rsidRPr="008A0CE2" w:rsidRDefault="00D54CC0" w:rsidP="00903E2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D54CC0" w:rsidRPr="008A0CE2" w:rsidRDefault="0097737B" w:rsidP="00903E2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Trésorerie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8A0CE2" w:rsidRDefault="00D54CC0" w:rsidP="00903E2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C = Exhaustivité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8A0CE2" w:rsidRDefault="00D54CC0" w:rsidP="00903E2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E = Existence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8A0CE2" w:rsidRDefault="00D54CC0" w:rsidP="00903E2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A = Exactitude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8A0CE2" w:rsidRDefault="00D54CC0" w:rsidP="00903E2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V = Valorisation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8A0CE2" w:rsidRDefault="00D54CC0" w:rsidP="00903E2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Préparé par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D54CC0" w:rsidRPr="008A0CE2" w:rsidRDefault="00D54CC0" w:rsidP="00903E2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W/P référence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Pr="008A0CE2" w:rsidRDefault="00D54CC0" w:rsidP="00903E2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D54CC0" w:rsidRPr="008A0CE2" w:rsidRDefault="00D54CC0" w:rsidP="00903E2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Commentaires</w:t>
            </w:r>
          </w:p>
        </w:tc>
      </w:tr>
      <w:tr w:rsidR="00D54CC0" w:rsidRPr="0097737B" w:rsidTr="00903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4" w:type="dxa"/>
            <w:tcBorders>
              <w:top w:val="single" w:sz="4" w:space="0" w:color="auto"/>
            </w:tcBorders>
          </w:tcPr>
          <w:p w:rsidR="00D54CC0" w:rsidRPr="008A0CE2" w:rsidRDefault="00D54CC0" w:rsidP="00A04DCE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B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sz w:val="18"/>
                <w:szCs w:val="18"/>
                <w:lang w:val="fr-BE"/>
              </w:rPr>
              <w:t>Procédures particulière pour traiter des risques spécifiques. </w:t>
            </w:r>
          </w:p>
          <w:p w:rsidR="00D54CC0" w:rsidRPr="008A0CE2" w:rsidRDefault="00D54CC0" w:rsidP="00903E29">
            <w:pPr>
              <w:pStyle w:val="ListParagraph"/>
              <w:spacing w:before="60" w:after="60" w:line="240" w:lineRule="auto"/>
              <w:ind w:left="36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D54CC0" w:rsidRPr="0097737B" w:rsidTr="00903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534" w:type="dxa"/>
          </w:tcPr>
          <w:p w:rsidR="00D54CC0" w:rsidRPr="008A0CE2" w:rsidRDefault="00D54CC0" w:rsidP="00903E2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4126" w:type="dxa"/>
          </w:tcPr>
          <w:p w:rsidR="00D54CC0" w:rsidRPr="008A0CE2" w:rsidRDefault="00D54CC0" w:rsidP="00903E29">
            <w:pPr>
              <w:pStyle w:val="ListParagraph"/>
              <w:spacing w:before="60" w:after="60" w:line="240" w:lineRule="auto"/>
              <w:ind w:left="36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569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676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D54CC0" w:rsidRPr="008A0CE2" w:rsidTr="00903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34" w:type="dxa"/>
          </w:tcPr>
          <w:p w:rsidR="00D54CC0" w:rsidRPr="008A0CE2" w:rsidRDefault="00D54CC0" w:rsidP="00A04DC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C</w:t>
            </w:r>
          </w:p>
        </w:tc>
        <w:tc>
          <w:tcPr>
            <w:tcW w:w="4126" w:type="dxa"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A0CE2">
              <w:rPr>
                <w:rFonts w:ascii="Arial" w:hAnsi="Arial" w:cs="Arial"/>
                <w:sz w:val="18"/>
                <w:szCs w:val="18"/>
                <w:lang w:val="fr-FR"/>
              </w:rPr>
              <w:t>Test de procédures</w:t>
            </w:r>
          </w:p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A0CE2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A0CE2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569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676" w:type="dxa"/>
            <w:noWrap/>
          </w:tcPr>
          <w:p w:rsidR="00D54CC0" w:rsidRPr="008A0CE2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</w:tbl>
    <w:p w:rsidR="00D54CC0" w:rsidRDefault="00D54CC0" w:rsidP="00D54CC0">
      <w:pPr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9214"/>
      </w:tblGrid>
      <w:tr w:rsidR="00D54CC0" w:rsidRPr="0097737B" w:rsidTr="00903E29">
        <w:trPr>
          <w:trHeight w:val="1283"/>
        </w:trPr>
        <w:tc>
          <w:tcPr>
            <w:tcW w:w="4644" w:type="dxa"/>
            <w:shd w:val="clear" w:color="auto" w:fill="BFBFBF" w:themeFill="background1" w:themeFillShade="BF"/>
            <w:noWrap/>
          </w:tcPr>
          <w:p w:rsidR="00D54CC0" w:rsidRPr="000214A5" w:rsidRDefault="00D54CC0" w:rsidP="00903E29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0214A5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Parapher chaque assertion pour indiquer que la réponse d'audit prévue est suffisante pour atténuer le niveau de risque évalué et le risque significatif identifié.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noWrap/>
            <w:textDirection w:val="btLr"/>
          </w:tcPr>
          <w:p w:rsidR="00D54CC0" w:rsidRPr="000214A5" w:rsidRDefault="00D54CC0" w:rsidP="00903E29">
            <w:pPr>
              <w:spacing w:before="60" w:after="60" w:line="240" w:lineRule="auto"/>
              <w:ind w:left="113" w:right="113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D54CC0" w:rsidRPr="00F5457B" w:rsidTr="00903E29">
        <w:trPr>
          <w:trHeight w:val="1075"/>
        </w:trPr>
        <w:tc>
          <w:tcPr>
            <w:tcW w:w="13858" w:type="dxa"/>
            <w:gridSpan w:val="2"/>
            <w:noWrap/>
          </w:tcPr>
          <w:p w:rsidR="00D54CC0" w:rsidRPr="000214A5" w:rsidRDefault="00D54CC0" w:rsidP="00903E29">
            <w:pPr>
              <w:spacing w:before="60" w:after="60" w:line="240" w:lineRule="auto"/>
              <w:ind w:right="11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0214A5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COMMENTAIRES</w:t>
            </w:r>
          </w:p>
        </w:tc>
      </w:tr>
    </w:tbl>
    <w:p w:rsidR="00D54CC0" w:rsidRDefault="00D54CC0" w:rsidP="00D54CC0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3260"/>
        <w:gridCol w:w="1134"/>
        <w:gridCol w:w="3827"/>
      </w:tblGrid>
      <w:tr w:rsidR="00D54CC0" w:rsidRPr="00F5457B" w:rsidTr="00FA6FDE">
        <w:trPr>
          <w:trHeight w:val="353"/>
        </w:trPr>
        <w:tc>
          <w:tcPr>
            <w:tcW w:w="5671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Préparé par</w:t>
            </w:r>
          </w:p>
        </w:tc>
        <w:tc>
          <w:tcPr>
            <w:tcW w:w="3260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  <w:tc>
          <w:tcPr>
            <w:tcW w:w="1134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Date</w:t>
            </w:r>
          </w:p>
        </w:tc>
        <w:tc>
          <w:tcPr>
            <w:tcW w:w="3827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</w:tr>
      <w:tr w:rsidR="00D54CC0" w:rsidRPr="00F5457B" w:rsidTr="00FA6FDE">
        <w:trPr>
          <w:trHeight w:val="352"/>
        </w:trPr>
        <w:tc>
          <w:tcPr>
            <w:tcW w:w="5671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714880">
              <w:rPr>
                <w:rFonts w:ascii="Arial" w:hAnsi="Arial" w:cs="Arial"/>
                <w:sz w:val="20"/>
                <w:szCs w:val="20"/>
                <w:lang w:val="fr-BE" w:eastAsia="nl-BE"/>
              </w:rPr>
              <w:t>Revu</w:t>
            </w: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 xml:space="preserve"> par l’associé responsable de la mission</w:t>
            </w:r>
          </w:p>
        </w:tc>
        <w:tc>
          <w:tcPr>
            <w:tcW w:w="3260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  <w:tc>
          <w:tcPr>
            <w:tcW w:w="1134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Date</w:t>
            </w:r>
          </w:p>
        </w:tc>
        <w:tc>
          <w:tcPr>
            <w:tcW w:w="3827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</w:tr>
      <w:tr w:rsidR="00D54CC0" w:rsidRPr="00F5457B" w:rsidTr="00FA6FDE">
        <w:trPr>
          <w:trHeight w:val="352"/>
        </w:trPr>
        <w:tc>
          <w:tcPr>
            <w:tcW w:w="5671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714880">
              <w:rPr>
                <w:rFonts w:ascii="Arial" w:hAnsi="Arial" w:cs="Arial"/>
                <w:sz w:val="20"/>
                <w:szCs w:val="20"/>
                <w:lang w:val="fr-BE" w:eastAsia="nl-BE"/>
              </w:rPr>
              <w:t xml:space="preserve">Revu </w:t>
            </w: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par le responsable contrôle qualité</w:t>
            </w:r>
          </w:p>
        </w:tc>
        <w:tc>
          <w:tcPr>
            <w:tcW w:w="3260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  <w:tc>
          <w:tcPr>
            <w:tcW w:w="1134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Date</w:t>
            </w:r>
          </w:p>
        </w:tc>
        <w:tc>
          <w:tcPr>
            <w:tcW w:w="3827" w:type="dxa"/>
          </w:tcPr>
          <w:p w:rsidR="00D54CC0" w:rsidRPr="00F5457B" w:rsidRDefault="00D54CC0" w:rsidP="00903E29">
            <w:pPr>
              <w:tabs>
                <w:tab w:val="left" w:pos="7920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</w:tr>
    </w:tbl>
    <w:p w:rsidR="004E05B9" w:rsidRPr="001A69E7" w:rsidRDefault="004E05B9" w:rsidP="00D54CC0">
      <w:pPr>
        <w:shd w:val="clear" w:color="auto" w:fill="FFFFFF"/>
        <w:rPr>
          <w:rFonts w:ascii="Arial" w:hAnsi="Arial" w:cs="Arial"/>
          <w:sz w:val="20"/>
          <w:szCs w:val="20"/>
          <w:lang w:val="fr-BE"/>
        </w:rPr>
      </w:pPr>
    </w:p>
    <w:sectPr w:rsidR="004E05B9" w:rsidRPr="001A69E7" w:rsidSect="002F20BB">
      <w:headerReference w:type="default" r:id="rId7"/>
      <w:footerReference w:type="default" r:id="rId8"/>
      <w:pgSz w:w="15840" w:h="12240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6A" w:rsidRDefault="00EF0F6A" w:rsidP="00052BBF">
      <w:pPr>
        <w:spacing w:after="0" w:line="240" w:lineRule="auto"/>
      </w:pPr>
      <w:r>
        <w:separator/>
      </w:r>
    </w:p>
  </w:endnote>
  <w:endnote w:type="continuationSeparator" w:id="0">
    <w:p w:rsidR="00EF0F6A" w:rsidRDefault="00EF0F6A" w:rsidP="0005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29" w:rsidRPr="00157E2E" w:rsidRDefault="00143B0A" w:rsidP="00C35E29">
    <w:pPr>
      <w:pStyle w:val="Footer"/>
      <w:jc w:val="right"/>
      <w:rPr>
        <w:rFonts w:ascii="Arial" w:hAnsi="Arial" w:cs="Arial"/>
        <w:sz w:val="18"/>
        <w:szCs w:val="18"/>
      </w:rPr>
    </w:pPr>
    <w:r w:rsidRPr="00157E2E">
      <w:rPr>
        <w:rStyle w:val="PageNumber"/>
        <w:rFonts w:ascii="Arial" w:hAnsi="Arial" w:cs="Arial"/>
        <w:sz w:val="18"/>
        <w:szCs w:val="18"/>
      </w:rPr>
      <w:fldChar w:fldCharType="begin"/>
    </w:r>
    <w:r w:rsidR="00C35E29" w:rsidRPr="00157E2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57E2E">
      <w:rPr>
        <w:rStyle w:val="PageNumber"/>
        <w:rFonts w:ascii="Arial" w:hAnsi="Arial" w:cs="Arial"/>
        <w:sz w:val="18"/>
        <w:szCs w:val="18"/>
      </w:rPr>
      <w:fldChar w:fldCharType="separate"/>
    </w:r>
    <w:r w:rsidR="00A04DCE">
      <w:rPr>
        <w:rStyle w:val="PageNumber"/>
        <w:rFonts w:ascii="Arial" w:hAnsi="Arial" w:cs="Arial"/>
        <w:noProof/>
        <w:sz w:val="18"/>
        <w:szCs w:val="18"/>
      </w:rPr>
      <w:t>5</w:t>
    </w:r>
    <w:r w:rsidRPr="00157E2E">
      <w:rPr>
        <w:rStyle w:val="PageNumber"/>
        <w:rFonts w:ascii="Arial" w:hAnsi="Arial" w:cs="Arial"/>
        <w:sz w:val="18"/>
        <w:szCs w:val="18"/>
      </w:rPr>
      <w:fldChar w:fldCharType="end"/>
    </w:r>
    <w:r w:rsidR="00C35E29" w:rsidRPr="00157E2E">
      <w:rPr>
        <w:rStyle w:val="PageNumber"/>
        <w:rFonts w:ascii="Arial" w:hAnsi="Arial" w:cs="Arial"/>
        <w:sz w:val="18"/>
        <w:szCs w:val="18"/>
      </w:rPr>
      <w:t>/</w:t>
    </w:r>
    <w:r w:rsidRPr="00157E2E">
      <w:rPr>
        <w:rStyle w:val="PageNumber"/>
        <w:rFonts w:ascii="Arial" w:hAnsi="Arial" w:cs="Arial"/>
        <w:sz w:val="18"/>
        <w:szCs w:val="18"/>
      </w:rPr>
      <w:fldChar w:fldCharType="begin"/>
    </w:r>
    <w:r w:rsidR="00C35E29" w:rsidRPr="00157E2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57E2E">
      <w:rPr>
        <w:rStyle w:val="PageNumber"/>
        <w:rFonts w:ascii="Arial" w:hAnsi="Arial" w:cs="Arial"/>
        <w:sz w:val="18"/>
        <w:szCs w:val="18"/>
      </w:rPr>
      <w:fldChar w:fldCharType="separate"/>
    </w:r>
    <w:r w:rsidR="00A04DCE">
      <w:rPr>
        <w:rStyle w:val="PageNumber"/>
        <w:rFonts w:ascii="Arial" w:hAnsi="Arial" w:cs="Arial"/>
        <w:noProof/>
        <w:sz w:val="18"/>
        <w:szCs w:val="18"/>
      </w:rPr>
      <w:t>5</w:t>
    </w:r>
    <w:r w:rsidRPr="00157E2E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6A" w:rsidRDefault="00EF0F6A" w:rsidP="00052BBF">
      <w:pPr>
        <w:spacing w:after="0" w:line="240" w:lineRule="auto"/>
      </w:pPr>
      <w:r>
        <w:separator/>
      </w:r>
    </w:p>
  </w:footnote>
  <w:footnote w:type="continuationSeparator" w:id="0">
    <w:p w:rsidR="00EF0F6A" w:rsidRDefault="00EF0F6A" w:rsidP="0005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29" w:rsidRDefault="00C35E29">
    <w:pPr>
      <w:pStyle w:val="Header"/>
      <w:rPr>
        <w:rFonts w:ascii="Arial" w:hAnsi="Arial" w:cs="Arial"/>
        <w:b/>
        <w:sz w:val="24"/>
        <w:szCs w:val="24"/>
        <w:lang w:val="fr-BE"/>
      </w:rPr>
    </w:pPr>
    <w:r w:rsidRPr="002C3F43">
      <w:rPr>
        <w:rFonts w:ascii="Arial" w:hAnsi="Arial" w:cs="Arial"/>
        <w:b/>
        <w:sz w:val="24"/>
        <w:szCs w:val="24"/>
        <w:lang w:val="fr-BE"/>
      </w:rPr>
      <w:t>Check-list B4</w:t>
    </w:r>
    <w:r w:rsidR="00157E2E">
      <w:rPr>
        <w:rFonts w:ascii="Arial" w:hAnsi="Arial" w:cs="Arial"/>
        <w:b/>
        <w:sz w:val="24"/>
        <w:szCs w:val="24"/>
        <w:lang w:val="fr-BE"/>
      </w:rPr>
      <w:t xml:space="preserve"> </w:t>
    </w:r>
    <w:r w:rsidRPr="002C3F43">
      <w:rPr>
        <w:rFonts w:ascii="Arial" w:hAnsi="Arial" w:cs="Arial"/>
        <w:b/>
        <w:sz w:val="24"/>
        <w:szCs w:val="24"/>
        <w:lang w:val="fr-BE"/>
      </w:rPr>
      <w:t>: Plan d’audit détaillé cash et banques</w:t>
    </w:r>
    <w:r>
      <w:rPr>
        <w:rFonts w:ascii="Arial" w:hAnsi="Arial" w:cs="Arial"/>
        <w:b/>
        <w:sz w:val="24"/>
        <w:szCs w:val="24"/>
        <w:lang w:val="fr-BE"/>
      </w:rPr>
      <w:t xml:space="preserve">     </w:t>
    </w:r>
    <w:r w:rsidR="004E05B9">
      <w:rPr>
        <w:rFonts w:ascii="Arial" w:hAnsi="Arial" w:cs="Arial"/>
        <w:b/>
        <w:sz w:val="24"/>
        <w:szCs w:val="24"/>
        <w:lang w:val="fr-BE"/>
      </w:rPr>
      <w:t>Seuil de signification global</w:t>
    </w:r>
    <w:r>
      <w:rPr>
        <w:rFonts w:ascii="Arial" w:hAnsi="Arial" w:cs="Arial"/>
        <w:b/>
        <w:sz w:val="24"/>
        <w:szCs w:val="24"/>
        <w:lang w:val="fr-BE"/>
      </w:rPr>
      <w:t xml:space="preserve"> € …….  </w:t>
    </w:r>
  </w:p>
  <w:p w:rsidR="00C35E29" w:rsidRPr="002C3F43" w:rsidRDefault="00C35E29">
    <w:pPr>
      <w:pStyle w:val="Header"/>
      <w:rPr>
        <w:rFonts w:ascii="Arial" w:hAnsi="Arial" w:cs="Arial"/>
        <w:b/>
        <w:sz w:val="24"/>
        <w:szCs w:val="24"/>
        <w:lang w:val="fr-BE"/>
      </w:rPr>
    </w:pPr>
    <w:r>
      <w:rPr>
        <w:rFonts w:ascii="Arial" w:hAnsi="Arial" w:cs="Arial"/>
        <w:b/>
        <w:sz w:val="24"/>
        <w:szCs w:val="24"/>
        <w:lang w:val="fr-BE"/>
      </w:rPr>
      <w:t xml:space="preserve">          </w:t>
    </w:r>
    <w:r>
      <w:rPr>
        <w:rFonts w:ascii="Arial" w:hAnsi="Arial" w:cs="Arial"/>
        <w:b/>
        <w:sz w:val="24"/>
        <w:szCs w:val="24"/>
        <w:lang w:val="fr-BE"/>
      </w:rPr>
      <w:tab/>
    </w:r>
    <w:r>
      <w:rPr>
        <w:rFonts w:ascii="Arial" w:hAnsi="Arial" w:cs="Arial"/>
        <w:b/>
        <w:sz w:val="24"/>
        <w:szCs w:val="24"/>
        <w:lang w:val="fr-BE"/>
      </w:rPr>
      <w:tab/>
      <w:t xml:space="preserve">                        </w:t>
    </w:r>
    <w:r w:rsidR="004E05B9">
      <w:rPr>
        <w:rFonts w:ascii="Arial" w:hAnsi="Arial" w:cs="Arial"/>
        <w:b/>
        <w:sz w:val="24"/>
        <w:szCs w:val="24"/>
        <w:lang w:val="fr-BE"/>
      </w:rPr>
      <w:t>Seuil</w:t>
    </w:r>
    <w:r>
      <w:rPr>
        <w:rFonts w:ascii="Arial" w:hAnsi="Arial" w:cs="Arial"/>
        <w:b/>
        <w:sz w:val="24"/>
        <w:szCs w:val="24"/>
        <w:lang w:val="fr-BE"/>
      </w:rPr>
      <w:t xml:space="preserve"> de</w:t>
    </w:r>
    <w:r w:rsidR="004E05B9">
      <w:rPr>
        <w:rFonts w:ascii="Arial" w:hAnsi="Arial" w:cs="Arial"/>
        <w:b/>
        <w:sz w:val="24"/>
        <w:szCs w:val="24"/>
        <w:lang w:val="fr-BE"/>
      </w:rPr>
      <w:t xml:space="preserve"> </w:t>
    </w:r>
    <w:r>
      <w:rPr>
        <w:rFonts w:ascii="Arial" w:hAnsi="Arial" w:cs="Arial"/>
        <w:b/>
        <w:sz w:val="24"/>
        <w:szCs w:val="24"/>
        <w:lang w:val="fr-BE"/>
      </w:rPr>
      <w:t>s</w:t>
    </w:r>
    <w:r w:rsidR="004E05B9">
      <w:rPr>
        <w:rFonts w:ascii="Arial" w:hAnsi="Arial" w:cs="Arial"/>
        <w:b/>
        <w:sz w:val="24"/>
        <w:szCs w:val="24"/>
        <w:lang w:val="fr-BE"/>
      </w:rPr>
      <w:t>ignification pour la réalisation des</w:t>
    </w:r>
    <w:r>
      <w:rPr>
        <w:rFonts w:ascii="Arial" w:hAnsi="Arial" w:cs="Arial"/>
        <w:b/>
        <w:sz w:val="24"/>
        <w:szCs w:val="24"/>
        <w:lang w:val="fr-BE"/>
      </w:rPr>
      <w:t xml:space="preserve"> travaux 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19"/>
    <w:multiLevelType w:val="hybridMultilevel"/>
    <w:tmpl w:val="C290AA96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72DCD"/>
    <w:multiLevelType w:val="hybridMultilevel"/>
    <w:tmpl w:val="76D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51C"/>
    <w:multiLevelType w:val="hybridMultilevel"/>
    <w:tmpl w:val="1D022FC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85E24A7"/>
    <w:multiLevelType w:val="hybridMultilevel"/>
    <w:tmpl w:val="14CC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43BF3"/>
    <w:multiLevelType w:val="hybridMultilevel"/>
    <w:tmpl w:val="1D36DF8A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A575BC"/>
    <w:multiLevelType w:val="hybridMultilevel"/>
    <w:tmpl w:val="14CE860C"/>
    <w:lvl w:ilvl="0" w:tplc="34DC53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F84349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DE7685"/>
    <w:multiLevelType w:val="hybridMultilevel"/>
    <w:tmpl w:val="2DF0A0B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568EF"/>
    <w:multiLevelType w:val="hybridMultilevel"/>
    <w:tmpl w:val="C4687C42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5785465"/>
    <w:multiLevelType w:val="hybridMultilevel"/>
    <w:tmpl w:val="4D52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A077D4"/>
    <w:multiLevelType w:val="hybridMultilevel"/>
    <w:tmpl w:val="9470F400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06505E"/>
    <w:multiLevelType w:val="hybridMultilevel"/>
    <w:tmpl w:val="C9706902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72B1D"/>
    <w:multiLevelType w:val="hybridMultilevel"/>
    <w:tmpl w:val="596AC2A0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B68151A"/>
    <w:multiLevelType w:val="hybridMultilevel"/>
    <w:tmpl w:val="6D386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9865B3"/>
    <w:multiLevelType w:val="hybridMultilevel"/>
    <w:tmpl w:val="BE14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7B6D6E"/>
    <w:multiLevelType w:val="hybridMultilevel"/>
    <w:tmpl w:val="8B76ACBA"/>
    <w:lvl w:ilvl="0" w:tplc="EA0092BC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716"/>
    <w:multiLevelType w:val="hybridMultilevel"/>
    <w:tmpl w:val="06924A6C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BD66571"/>
    <w:multiLevelType w:val="hybridMultilevel"/>
    <w:tmpl w:val="522CBEB4"/>
    <w:lvl w:ilvl="0" w:tplc="9FB67C78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EE261BB"/>
    <w:multiLevelType w:val="hybridMultilevel"/>
    <w:tmpl w:val="07D0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4A8F"/>
    <w:multiLevelType w:val="hybridMultilevel"/>
    <w:tmpl w:val="274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017"/>
    <w:multiLevelType w:val="hybridMultilevel"/>
    <w:tmpl w:val="C512D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8503CE"/>
    <w:multiLevelType w:val="hybridMultilevel"/>
    <w:tmpl w:val="DC3EB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EA623B"/>
    <w:multiLevelType w:val="hybridMultilevel"/>
    <w:tmpl w:val="A8069C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BCE0188"/>
    <w:multiLevelType w:val="hybridMultilevel"/>
    <w:tmpl w:val="B87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50F5B"/>
    <w:multiLevelType w:val="hybridMultilevel"/>
    <w:tmpl w:val="1B12087A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9975D17"/>
    <w:multiLevelType w:val="hybridMultilevel"/>
    <w:tmpl w:val="E72C188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56EBB"/>
    <w:multiLevelType w:val="hybridMultilevel"/>
    <w:tmpl w:val="AAE23FDA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BB52B4F"/>
    <w:multiLevelType w:val="hybridMultilevel"/>
    <w:tmpl w:val="735C0852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B75855"/>
    <w:multiLevelType w:val="hybridMultilevel"/>
    <w:tmpl w:val="6B366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C20540"/>
    <w:multiLevelType w:val="hybridMultilevel"/>
    <w:tmpl w:val="78908A0A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8F217B7"/>
    <w:multiLevelType w:val="hybridMultilevel"/>
    <w:tmpl w:val="F00A660C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8D4963"/>
    <w:multiLevelType w:val="hybridMultilevel"/>
    <w:tmpl w:val="23B2D9AC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6500E0"/>
    <w:multiLevelType w:val="hybridMultilevel"/>
    <w:tmpl w:val="6960E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421B66"/>
    <w:multiLevelType w:val="hybridMultilevel"/>
    <w:tmpl w:val="DE8E7B4E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3127BE"/>
    <w:multiLevelType w:val="hybridMultilevel"/>
    <w:tmpl w:val="C5BC6996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D8B1205"/>
    <w:multiLevelType w:val="hybridMultilevel"/>
    <w:tmpl w:val="E5D6D1F8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3A3C91"/>
    <w:multiLevelType w:val="hybridMultilevel"/>
    <w:tmpl w:val="A8262926"/>
    <w:lvl w:ilvl="0" w:tplc="579A4BA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7"/>
  </w:num>
  <w:num w:numId="5">
    <w:abstractNumId w:val="1"/>
  </w:num>
  <w:num w:numId="6">
    <w:abstractNumId w:val="22"/>
  </w:num>
  <w:num w:numId="7">
    <w:abstractNumId w:val="18"/>
  </w:num>
  <w:num w:numId="8">
    <w:abstractNumId w:val="16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9"/>
  </w:num>
  <w:num w:numId="15">
    <w:abstractNumId w:val="3"/>
  </w:num>
  <w:num w:numId="16">
    <w:abstractNumId w:val="24"/>
  </w:num>
  <w:num w:numId="17">
    <w:abstractNumId w:val="27"/>
  </w:num>
  <w:num w:numId="18">
    <w:abstractNumId w:val="30"/>
  </w:num>
  <w:num w:numId="19">
    <w:abstractNumId w:val="29"/>
  </w:num>
  <w:num w:numId="20">
    <w:abstractNumId w:val="31"/>
  </w:num>
  <w:num w:numId="21">
    <w:abstractNumId w:val="8"/>
  </w:num>
  <w:num w:numId="22">
    <w:abstractNumId w:val="35"/>
  </w:num>
  <w:num w:numId="23">
    <w:abstractNumId w:val="7"/>
  </w:num>
  <w:num w:numId="24">
    <w:abstractNumId w:val="11"/>
  </w:num>
  <w:num w:numId="25">
    <w:abstractNumId w:val="34"/>
  </w:num>
  <w:num w:numId="26">
    <w:abstractNumId w:val="25"/>
  </w:num>
  <w:num w:numId="27">
    <w:abstractNumId w:val="28"/>
  </w:num>
  <w:num w:numId="28">
    <w:abstractNumId w:val="32"/>
  </w:num>
  <w:num w:numId="29">
    <w:abstractNumId w:val="13"/>
  </w:num>
  <w:num w:numId="30">
    <w:abstractNumId w:val="33"/>
  </w:num>
  <w:num w:numId="31">
    <w:abstractNumId w:val="4"/>
  </w:num>
  <w:num w:numId="32">
    <w:abstractNumId w:val="23"/>
  </w:num>
  <w:num w:numId="33">
    <w:abstractNumId w:val="26"/>
  </w:num>
  <w:num w:numId="34">
    <w:abstractNumId w:val="15"/>
  </w:num>
  <w:num w:numId="35">
    <w:abstractNumId w:val="2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D9"/>
    <w:rsid w:val="0001012C"/>
    <w:rsid w:val="00027836"/>
    <w:rsid w:val="00052BBF"/>
    <w:rsid w:val="000733D8"/>
    <w:rsid w:val="00097833"/>
    <w:rsid w:val="000A4940"/>
    <w:rsid w:val="000D0DB2"/>
    <w:rsid w:val="000F226E"/>
    <w:rsid w:val="00143B0A"/>
    <w:rsid w:val="00156DD9"/>
    <w:rsid w:val="00157E2E"/>
    <w:rsid w:val="00193CB9"/>
    <w:rsid w:val="00196C61"/>
    <w:rsid w:val="001A69E7"/>
    <w:rsid w:val="002124F2"/>
    <w:rsid w:val="0024089E"/>
    <w:rsid w:val="002631F6"/>
    <w:rsid w:val="002A6914"/>
    <w:rsid w:val="002C3F43"/>
    <w:rsid w:val="002E6B5E"/>
    <w:rsid w:val="002F20BB"/>
    <w:rsid w:val="00307BDE"/>
    <w:rsid w:val="00313C93"/>
    <w:rsid w:val="003176C5"/>
    <w:rsid w:val="0034042B"/>
    <w:rsid w:val="003744CD"/>
    <w:rsid w:val="003D1EDA"/>
    <w:rsid w:val="004520C0"/>
    <w:rsid w:val="00456565"/>
    <w:rsid w:val="00470266"/>
    <w:rsid w:val="00495910"/>
    <w:rsid w:val="004B709D"/>
    <w:rsid w:val="004D4237"/>
    <w:rsid w:val="004E05B9"/>
    <w:rsid w:val="005067BF"/>
    <w:rsid w:val="00516D6A"/>
    <w:rsid w:val="00544FB5"/>
    <w:rsid w:val="00571D3B"/>
    <w:rsid w:val="005C452E"/>
    <w:rsid w:val="005F7017"/>
    <w:rsid w:val="00603B89"/>
    <w:rsid w:val="00623580"/>
    <w:rsid w:val="0063076E"/>
    <w:rsid w:val="00661871"/>
    <w:rsid w:val="00773E65"/>
    <w:rsid w:val="0078020F"/>
    <w:rsid w:val="007D07E1"/>
    <w:rsid w:val="00800923"/>
    <w:rsid w:val="008311D0"/>
    <w:rsid w:val="00865654"/>
    <w:rsid w:val="008660E8"/>
    <w:rsid w:val="008737B8"/>
    <w:rsid w:val="008A6FA2"/>
    <w:rsid w:val="008A79EB"/>
    <w:rsid w:val="008B6D24"/>
    <w:rsid w:val="00913FD9"/>
    <w:rsid w:val="009238D1"/>
    <w:rsid w:val="0097737B"/>
    <w:rsid w:val="009D41C4"/>
    <w:rsid w:val="009E7703"/>
    <w:rsid w:val="009F7E2E"/>
    <w:rsid w:val="00A04DCE"/>
    <w:rsid w:val="00A11EF9"/>
    <w:rsid w:val="00A41E32"/>
    <w:rsid w:val="00A44E0C"/>
    <w:rsid w:val="00A452BE"/>
    <w:rsid w:val="00A83F99"/>
    <w:rsid w:val="00AD475C"/>
    <w:rsid w:val="00B232C9"/>
    <w:rsid w:val="00B7278D"/>
    <w:rsid w:val="00BF1A2A"/>
    <w:rsid w:val="00C35E29"/>
    <w:rsid w:val="00C53026"/>
    <w:rsid w:val="00C650AA"/>
    <w:rsid w:val="00C854D9"/>
    <w:rsid w:val="00CB46D4"/>
    <w:rsid w:val="00D26D8D"/>
    <w:rsid w:val="00D54CC0"/>
    <w:rsid w:val="00DA56C9"/>
    <w:rsid w:val="00DB25E5"/>
    <w:rsid w:val="00DD2CDD"/>
    <w:rsid w:val="00DE65AB"/>
    <w:rsid w:val="00DF71DF"/>
    <w:rsid w:val="00E748EA"/>
    <w:rsid w:val="00E8392C"/>
    <w:rsid w:val="00E92EBC"/>
    <w:rsid w:val="00EB5AAD"/>
    <w:rsid w:val="00EC1D2A"/>
    <w:rsid w:val="00EF0F6A"/>
    <w:rsid w:val="00F15070"/>
    <w:rsid w:val="00F51111"/>
    <w:rsid w:val="00FA6FDE"/>
    <w:rsid w:val="00FC007A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9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uiPriority w:val="99"/>
    <w:rsid w:val="00773E65"/>
    <w:pPr>
      <w:spacing w:before="240" w:after="240" w:line="240" w:lineRule="auto"/>
    </w:pPr>
    <w:rPr>
      <w:rFonts w:ascii="Arial" w:hAnsi="Arial" w:cs="Arial"/>
      <w:b/>
      <w:spacing w:val="-5"/>
      <w:sz w:val="20"/>
      <w:szCs w:val="20"/>
      <w:lang w:val="nl-BE"/>
    </w:rPr>
  </w:style>
  <w:style w:type="table" w:styleId="TableGrid">
    <w:name w:val="Table Grid"/>
    <w:basedOn w:val="TableNormal"/>
    <w:uiPriority w:val="99"/>
    <w:rsid w:val="00913FD9"/>
    <w:pPr>
      <w:spacing w:after="0" w:line="240" w:lineRule="auto"/>
    </w:pPr>
    <w:rPr>
      <w:rFonts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B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B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5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BBF"/>
    <w:rPr>
      <w:rFonts w:cs="Times New Roman"/>
    </w:rPr>
  </w:style>
  <w:style w:type="character" w:styleId="PageNumber">
    <w:name w:val="page number"/>
    <w:basedOn w:val="DefaultParagraphFont"/>
    <w:uiPriority w:val="99"/>
    <w:rsid w:val="006618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9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uiPriority w:val="99"/>
    <w:rsid w:val="00773E65"/>
    <w:pPr>
      <w:spacing w:before="240" w:after="240" w:line="240" w:lineRule="auto"/>
    </w:pPr>
    <w:rPr>
      <w:rFonts w:ascii="Arial" w:hAnsi="Arial" w:cs="Arial"/>
      <w:b/>
      <w:spacing w:val="-5"/>
      <w:sz w:val="20"/>
      <w:szCs w:val="20"/>
      <w:lang w:val="nl-BE"/>
    </w:rPr>
  </w:style>
  <w:style w:type="table" w:styleId="TableGrid">
    <w:name w:val="Table Grid"/>
    <w:basedOn w:val="TableNormal"/>
    <w:uiPriority w:val="99"/>
    <w:rsid w:val="00913FD9"/>
    <w:pPr>
      <w:spacing w:after="0" w:line="240" w:lineRule="auto"/>
    </w:pPr>
    <w:rPr>
      <w:rFonts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B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B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5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2BBF"/>
    <w:rPr>
      <w:rFonts w:cs="Times New Roman"/>
    </w:rPr>
  </w:style>
  <w:style w:type="character" w:styleId="PageNumber">
    <w:name w:val="page number"/>
    <w:basedOn w:val="DefaultParagraphFont"/>
    <w:uiPriority w:val="99"/>
    <w:rsid w:val="006618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MPT7ECPAHCR6-758363236-74</_dlc_DocId>
    <_dlc_DocIdUrl xmlns="90359a4a-3ee0-4d21-9975-9d02abdd1639">
      <Url>https://doc.icci.be/fr/_layouts/15/DocIdRedir.aspx?ID=MPT7ECPAHCR6-758363236-74</Url>
      <Description>MPT7ECPAHCR6-758363236-74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E161E-B3DF-446B-9F39-6EC6A10D2C91}"/>
</file>

<file path=customXml/itemProps2.xml><?xml version="1.0" encoding="utf-8"?>
<ds:datastoreItem xmlns:ds="http://schemas.openxmlformats.org/officeDocument/2006/customXml" ds:itemID="{C6F759FC-FA74-4E6D-ACFF-9FF6D9DE8C48}"/>
</file>

<file path=customXml/itemProps3.xml><?xml version="1.0" encoding="utf-8"?>
<ds:datastoreItem xmlns:ds="http://schemas.openxmlformats.org/officeDocument/2006/customXml" ds:itemID="{902531A6-24B3-4EB9-9F93-ED0FE4327637}"/>
</file>

<file path=customXml/itemProps4.xml><?xml version="1.0" encoding="utf-8"?>
<ds:datastoreItem xmlns:ds="http://schemas.openxmlformats.org/officeDocument/2006/customXml" ds:itemID="{B498DECB-9AC6-4905-B8D3-4E912F967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du client</vt:lpstr>
    </vt:vector>
  </TitlesOfParts>
  <Company>IBR-IRE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client</dc:title>
  <dc:subject/>
  <dc:creator>Interimair 2</dc:creator>
  <cp:keywords/>
  <dc:description/>
  <cp:lastModifiedBy>admin</cp:lastModifiedBy>
  <cp:revision>6</cp:revision>
  <cp:lastPrinted>2011-12-20T08:24:00Z</cp:lastPrinted>
  <dcterms:created xsi:type="dcterms:W3CDTF">2011-12-20T08:24:00Z</dcterms:created>
  <dcterms:modified xsi:type="dcterms:W3CDTF">2011-12-21T15:05:00Z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084abd4c-422e-49ca-922f-d0ecbf437c86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