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44" w:rsidRPr="000214A5" w:rsidRDefault="00F67144" w:rsidP="00773E65">
      <w:pPr>
        <w:pStyle w:val="Note"/>
        <w:rPr>
          <w:lang w:val="fr-BE"/>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260"/>
        <w:gridCol w:w="1134"/>
        <w:gridCol w:w="3402"/>
      </w:tblGrid>
      <w:tr w:rsidR="00F67144" w:rsidRPr="00F5457B" w:rsidTr="00F5457B">
        <w:trPr>
          <w:trHeight w:val="353"/>
        </w:trPr>
        <w:tc>
          <w:tcPr>
            <w:tcW w:w="5529" w:type="dxa"/>
          </w:tcPr>
          <w:p w:rsidR="00F67144" w:rsidRPr="00F5457B" w:rsidRDefault="00F67144" w:rsidP="00F5457B">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 xml:space="preserve">Nom du client </w:t>
            </w:r>
          </w:p>
        </w:tc>
        <w:tc>
          <w:tcPr>
            <w:tcW w:w="3260" w:type="dxa"/>
          </w:tcPr>
          <w:p w:rsidR="00F67144" w:rsidRPr="00F5457B" w:rsidRDefault="00F67144" w:rsidP="00F5457B">
            <w:pPr>
              <w:tabs>
                <w:tab w:val="left" w:pos="7920"/>
              </w:tabs>
              <w:spacing w:before="60" w:after="60" w:line="240" w:lineRule="auto"/>
              <w:rPr>
                <w:rFonts w:ascii="Arial" w:hAnsi="Arial" w:cs="Arial"/>
                <w:b/>
                <w:sz w:val="20"/>
                <w:szCs w:val="20"/>
                <w:lang w:val="fr-BE" w:eastAsia="nl-BE"/>
              </w:rPr>
            </w:pPr>
          </w:p>
        </w:tc>
        <w:tc>
          <w:tcPr>
            <w:tcW w:w="1134" w:type="dxa"/>
          </w:tcPr>
          <w:p w:rsidR="00F67144" w:rsidRPr="00F5457B" w:rsidRDefault="00F67144" w:rsidP="00F5457B">
            <w:pPr>
              <w:tabs>
                <w:tab w:val="left" w:pos="7920"/>
              </w:tabs>
              <w:spacing w:before="60" w:after="60" w:line="240" w:lineRule="auto"/>
              <w:rPr>
                <w:rFonts w:ascii="Arial" w:hAnsi="Arial" w:cs="Arial"/>
                <w:b/>
                <w:sz w:val="20"/>
                <w:szCs w:val="20"/>
                <w:lang w:val="fr-BE" w:eastAsia="nl-BE"/>
              </w:rPr>
            </w:pPr>
            <w:r w:rsidRPr="00F5457B">
              <w:rPr>
                <w:rFonts w:ascii="Arial" w:hAnsi="Arial" w:cs="Arial"/>
                <w:sz w:val="20"/>
                <w:szCs w:val="20"/>
                <w:lang w:val="fr-BE" w:eastAsia="nl-BE"/>
              </w:rPr>
              <w:t>Exercice</w:t>
            </w:r>
          </w:p>
        </w:tc>
        <w:tc>
          <w:tcPr>
            <w:tcW w:w="3402" w:type="dxa"/>
          </w:tcPr>
          <w:p w:rsidR="00F67144" w:rsidRPr="00F5457B" w:rsidRDefault="00F67144" w:rsidP="00F5457B">
            <w:pPr>
              <w:tabs>
                <w:tab w:val="left" w:pos="7920"/>
              </w:tabs>
              <w:spacing w:before="60" w:after="60" w:line="240" w:lineRule="auto"/>
              <w:rPr>
                <w:rFonts w:ascii="Arial" w:hAnsi="Arial" w:cs="Arial"/>
                <w:b/>
                <w:sz w:val="20"/>
                <w:szCs w:val="20"/>
                <w:lang w:val="fr-BE" w:eastAsia="nl-BE"/>
              </w:rPr>
            </w:pPr>
          </w:p>
        </w:tc>
      </w:tr>
      <w:tr w:rsidR="00F67144" w:rsidRPr="00CC6A4F" w:rsidTr="00F5457B">
        <w:tc>
          <w:tcPr>
            <w:tcW w:w="5529" w:type="dxa"/>
          </w:tcPr>
          <w:p w:rsidR="00F67144" w:rsidRPr="00F5457B" w:rsidRDefault="00F67144" w:rsidP="00F5457B">
            <w:pPr>
              <w:tabs>
                <w:tab w:val="left" w:pos="7920"/>
              </w:tabs>
              <w:spacing w:before="60" w:after="60" w:line="240" w:lineRule="auto"/>
              <w:rPr>
                <w:rFonts w:ascii="Arial" w:hAnsi="Arial" w:cs="Arial"/>
                <w:b/>
                <w:bCs/>
                <w:spacing w:val="-5"/>
                <w:sz w:val="20"/>
                <w:szCs w:val="20"/>
                <w:lang w:val="fr-BE" w:eastAsia="nl-BE"/>
              </w:rPr>
            </w:pPr>
            <w:r w:rsidRPr="00F5457B">
              <w:rPr>
                <w:rFonts w:ascii="Arial" w:hAnsi="Arial" w:cs="Arial"/>
                <w:sz w:val="20"/>
                <w:szCs w:val="20"/>
                <w:lang w:val="fr-BE" w:eastAsia="nl-BE"/>
              </w:rPr>
              <w:t>Sujet</w:t>
            </w:r>
          </w:p>
        </w:tc>
        <w:tc>
          <w:tcPr>
            <w:tcW w:w="7796" w:type="dxa"/>
            <w:gridSpan w:val="3"/>
            <w:shd w:val="clear" w:color="auto" w:fill="BFBFBF"/>
            <w:vAlign w:val="center"/>
          </w:tcPr>
          <w:p w:rsidR="00F67144" w:rsidRPr="00F5457B" w:rsidRDefault="00F67144" w:rsidP="00F5457B">
            <w:pPr>
              <w:autoSpaceDE w:val="0"/>
              <w:autoSpaceDN w:val="0"/>
              <w:adjustRightInd w:val="0"/>
              <w:spacing w:after="0" w:line="240" w:lineRule="auto"/>
              <w:jc w:val="center"/>
              <w:rPr>
                <w:rFonts w:ascii="Arial" w:hAnsi="Arial" w:cs="Arial"/>
                <w:b/>
                <w:bCs/>
                <w:spacing w:val="-5"/>
                <w:sz w:val="20"/>
                <w:szCs w:val="20"/>
                <w:lang w:val="fr-BE"/>
              </w:rPr>
            </w:pPr>
            <w:r w:rsidRPr="00F5457B">
              <w:rPr>
                <w:rFonts w:ascii="Arial" w:hAnsi="Arial" w:cs="Arial"/>
                <w:b/>
                <w:bCs/>
                <w:spacing w:val="-5"/>
                <w:sz w:val="20"/>
                <w:szCs w:val="20"/>
                <w:lang w:val="fr-BE"/>
              </w:rPr>
              <w:t>PLAN D’AUDIT DETAILLE DES ACHATS</w:t>
            </w:r>
          </w:p>
        </w:tc>
      </w:tr>
    </w:tbl>
    <w:p w:rsidR="00F67144" w:rsidRPr="0032510D" w:rsidRDefault="00F67144" w:rsidP="009E35DB">
      <w:pPr>
        <w:tabs>
          <w:tab w:val="left" w:pos="6480"/>
        </w:tabs>
        <w:suppressAutoHyphens/>
        <w:spacing w:after="0" w:line="240" w:lineRule="auto"/>
        <w:jc w:val="both"/>
        <w:rPr>
          <w:rFonts w:ascii="Arial" w:hAnsi="Arial" w:cs="Arial"/>
          <w:b/>
          <w:spacing w:val="-1"/>
          <w:sz w:val="20"/>
          <w:szCs w:val="20"/>
          <w:lang w:val="fr-FR"/>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9"/>
        <w:gridCol w:w="1276"/>
      </w:tblGrid>
      <w:tr w:rsidR="00F67144" w:rsidRPr="00F5457B" w:rsidTr="00F5457B">
        <w:tc>
          <w:tcPr>
            <w:tcW w:w="12049" w:type="dxa"/>
            <w:vAlign w:val="center"/>
          </w:tcPr>
          <w:p w:rsidR="00F67144" w:rsidRPr="00F5457B" w:rsidRDefault="00F67144" w:rsidP="00F5457B">
            <w:pPr>
              <w:spacing w:before="60" w:after="60" w:line="240" w:lineRule="auto"/>
              <w:jc w:val="center"/>
              <w:rPr>
                <w:rFonts w:ascii="Arial" w:hAnsi="Arial" w:cs="Arial"/>
                <w:sz w:val="20"/>
                <w:szCs w:val="20"/>
                <w:lang w:val="fr-BE"/>
              </w:rPr>
            </w:pPr>
            <w:r w:rsidRPr="00F5457B">
              <w:rPr>
                <w:rFonts w:ascii="Arial" w:hAnsi="Arial" w:cs="Arial"/>
                <w:b/>
                <w:sz w:val="20"/>
                <w:szCs w:val="20"/>
                <w:lang w:val="fr-BE"/>
              </w:rPr>
              <w:t>OBJECTIF</w:t>
            </w:r>
          </w:p>
        </w:tc>
        <w:tc>
          <w:tcPr>
            <w:tcW w:w="1276" w:type="dxa"/>
            <w:vAlign w:val="center"/>
          </w:tcPr>
          <w:p w:rsidR="00F67144" w:rsidRPr="00F5457B" w:rsidRDefault="00F67144" w:rsidP="00F5457B">
            <w:pPr>
              <w:spacing w:before="60" w:after="60" w:line="240" w:lineRule="auto"/>
              <w:jc w:val="center"/>
              <w:rPr>
                <w:rFonts w:ascii="Arial" w:hAnsi="Arial" w:cs="Arial"/>
                <w:b/>
                <w:sz w:val="20"/>
                <w:szCs w:val="20"/>
                <w:lang w:val="fr-BE"/>
              </w:rPr>
            </w:pPr>
            <w:r w:rsidRPr="00F5457B">
              <w:rPr>
                <w:rFonts w:ascii="Arial" w:hAnsi="Arial" w:cs="Arial"/>
                <w:b/>
                <w:sz w:val="20"/>
                <w:szCs w:val="20"/>
                <w:lang w:val="fr-BE"/>
              </w:rPr>
              <w:t>ISA</w:t>
            </w:r>
          </w:p>
        </w:tc>
      </w:tr>
      <w:tr w:rsidR="00F67144" w:rsidRPr="00B21C48" w:rsidTr="00F5457B">
        <w:trPr>
          <w:trHeight w:val="696"/>
        </w:trPr>
        <w:tc>
          <w:tcPr>
            <w:tcW w:w="12049" w:type="dxa"/>
          </w:tcPr>
          <w:p w:rsidR="00F67144" w:rsidRPr="00677431" w:rsidRDefault="00B21C48" w:rsidP="00677431">
            <w:pPr>
              <w:autoSpaceDE w:val="0"/>
              <w:autoSpaceDN w:val="0"/>
              <w:adjustRightInd w:val="0"/>
              <w:spacing w:after="0" w:line="240" w:lineRule="auto"/>
              <w:jc w:val="both"/>
              <w:rPr>
                <w:rFonts w:ascii="Arial" w:hAnsi="Arial" w:cs="Arial"/>
                <w:sz w:val="20"/>
                <w:szCs w:val="20"/>
                <w:lang w:val="fr-FR"/>
              </w:rPr>
            </w:pPr>
            <w:r w:rsidRPr="00677431">
              <w:rPr>
                <w:rFonts w:ascii="Arial" w:hAnsi="Arial" w:cs="Arial"/>
                <w:sz w:val="24"/>
                <w:szCs w:val="24"/>
                <w:lang w:val="fr-FR" w:eastAsia="fr-FR"/>
              </w:rPr>
              <w:t>Répondre aux risques identifiés d’anomalies significatives en obtenant des éléments probants appropriés et suffisants pour</w:t>
            </w:r>
            <w:r w:rsidR="00677431">
              <w:rPr>
                <w:rFonts w:ascii="Arial" w:hAnsi="Arial" w:cs="Arial"/>
                <w:sz w:val="24"/>
                <w:szCs w:val="24"/>
                <w:lang w:val="fr-FR" w:eastAsia="fr-FR"/>
              </w:rPr>
              <w:t xml:space="preserve"> </w:t>
            </w:r>
            <w:r w:rsidRPr="00677431">
              <w:rPr>
                <w:rFonts w:ascii="Arial" w:hAnsi="Arial" w:cs="Arial"/>
                <w:sz w:val="24"/>
                <w:szCs w:val="24"/>
                <w:lang w:val="fr-FR" w:eastAsia="fr-FR"/>
              </w:rPr>
              <w:t>réduire les risques d’audit à un faible niveau acceptable.</w:t>
            </w:r>
          </w:p>
        </w:tc>
        <w:tc>
          <w:tcPr>
            <w:tcW w:w="1276" w:type="dxa"/>
          </w:tcPr>
          <w:p w:rsidR="00F67144" w:rsidRPr="00F5457B" w:rsidRDefault="00B21C48" w:rsidP="00F5457B">
            <w:pPr>
              <w:spacing w:before="60" w:after="60" w:line="240" w:lineRule="auto"/>
              <w:jc w:val="center"/>
              <w:rPr>
                <w:rFonts w:ascii="Arial" w:hAnsi="Arial" w:cs="Arial"/>
                <w:sz w:val="20"/>
                <w:szCs w:val="20"/>
                <w:lang w:val="fr-BE" w:eastAsia="en-GB"/>
              </w:rPr>
            </w:pPr>
            <w:r>
              <w:rPr>
                <w:rFonts w:ascii="Arial" w:hAnsi="Arial" w:cs="Arial"/>
                <w:sz w:val="20"/>
                <w:szCs w:val="20"/>
                <w:lang w:val="fr-BE" w:eastAsia="en-GB"/>
              </w:rPr>
              <w:t>300</w:t>
            </w:r>
          </w:p>
        </w:tc>
      </w:tr>
    </w:tbl>
    <w:p w:rsidR="00F67144" w:rsidRDefault="00F67144">
      <w:pPr>
        <w:rPr>
          <w:rFonts w:ascii="Arial" w:hAnsi="Arial" w:cs="Arial"/>
          <w:sz w:val="20"/>
          <w:szCs w:val="20"/>
          <w:lang w:val="fr-BE"/>
        </w:rPr>
      </w:pPr>
    </w:p>
    <w:tbl>
      <w:tblPr>
        <w:tblW w:w="86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1630"/>
        <w:gridCol w:w="1380"/>
        <w:gridCol w:w="1430"/>
        <w:gridCol w:w="1590"/>
      </w:tblGrid>
      <w:tr w:rsidR="00F67144" w:rsidRPr="008A0CE2" w:rsidTr="008A0CE2">
        <w:trPr>
          <w:trHeight w:val="255"/>
          <w:jc w:val="center"/>
        </w:trPr>
        <w:tc>
          <w:tcPr>
            <w:tcW w:w="3122" w:type="dxa"/>
            <w:tcBorders>
              <w:bottom w:val="single" w:sz="4" w:space="0" w:color="auto"/>
            </w:tcBorders>
            <w:noWrap/>
          </w:tcPr>
          <w:p w:rsidR="00F67144" w:rsidRPr="008A0CE2" w:rsidRDefault="00F67144" w:rsidP="00776B5E">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w:t>
            </w:r>
          </w:p>
        </w:tc>
        <w:tc>
          <w:tcPr>
            <w:tcW w:w="1395" w:type="dxa"/>
            <w:tcBorders>
              <w:bottom w:val="single" w:sz="4" w:space="0" w:color="auto"/>
            </w:tcBorders>
            <w:noWrap/>
          </w:tcPr>
          <w:p w:rsidR="00F67144" w:rsidRPr="008A0CE2" w:rsidRDefault="00512FA5" w:rsidP="00776B5E">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xml:space="preserve">C= </w:t>
            </w:r>
            <w:r w:rsidR="00F67144" w:rsidRPr="008A0CE2">
              <w:rPr>
                <w:rFonts w:ascii="Arial" w:hAnsi="Arial" w:cs="Arial"/>
                <w:b/>
                <w:bCs/>
                <w:sz w:val="24"/>
                <w:szCs w:val="24"/>
                <w:lang w:val="fr-FR" w:eastAsia="fr-FR"/>
              </w:rPr>
              <w:t>Exhaustivité</w:t>
            </w:r>
          </w:p>
        </w:tc>
        <w:tc>
          <w:tcPr>
            <w:tcW w:w="1380" w:type="dxa"/>
            <w:tcBorders>
              <w:bottom w:val="single" w:sz="4" w:space="0" w:color="auto"/>
            </w:tcBorders>
            <w:noWrap/>
          </w:tcPr>
          <w:p w:rsidR="00F67144" w:rsidRPr="008A0CE2" w:rsidRDefault="00512FA5" w:rsidP="00776B5E">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xml:space="preserve">E= </w:t>
            </w:r>
            <w:r w:rsidR="00F67144" w:rsidRPr="008A0CE2">
              <w:rPr>
                <w:rFonts w:ascii="Arial" w:hAnsi="Arial" w:cs="Arial"/>
                <w:b/>
                <w:bCs/>
                <w:sz w:val="24"/>
                <w:szCs w:val="24"/>
                <w:lang w:val="fr-FR" w:eastAsia="fr-FR"/>
              </w:rPr>
              <w:t>Existence</w:t>
            </w:r>
          </w:p>
        </w:tc>
        <w:tc>
          <w:tcPr>
            <w:tcW w:w="1360" w:type="dxa"/>
            <w:tcBorders>
              <w:bottom w:val="single" w:sz="4" w:space="0" w:color="auto"/>
            </w:tcBorders>
            <w:noWrap/>
          </w:tcPr>
          <w:p w:rsidR="00F67144" w:rsidRPr="008A0CE2" w:rsidRDefault="00512FA5" w:rsidP="00776B5E">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xml:space="preserve">A = </w:t>
            </w:r>
            <w:r w:rsidR="00F67144" w:rsidRPr="008A0CE2">
              <w:rPr>
                <w:rFonts w:ascii="Arial" w:hAnsi="Arial" w:cs="Arial"/>
                <w:b/>
                <w:bCs/>
                <w:sz w:val="24"/>
                <w:szCs w:val="24"/>
                <w:lang w:val="fr-FR" w:eastAsia="fr-FR"/>
              </w:rPr>
              <w:t>Exactitude</w:t>
            </w:r>
          </w:p>
        </w:tc>
        <w:tc>
          <w:tcPr>
            <w:tcW w:w="1420" w:type="dxa"/>
            <w:tcBorders>
              <w:bottom w:val="single" w:sz="4" w:space="0" w:color="auto"/>
            </w:tcBorders>
            <w:noWrap/>
          </w:tcPr>
          <w:p w:rsidR="00F67144" w:rsidRPr="008A0CE2" w:rsidRDefault="00512FA5" w:rsidP="00776B5E">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xml:space="preserve">V= </w:t>
            </w:r>
            <w:r w:rsidR="00F67144" w:rsidRPr="008A0CE2">
              <w:rPr>
                <w:rFonts w:ascii="Arial" w:hAnsi="Arial" w:cs="Arial"/>
                <w:b/>
                <w:bCs/>
                <w:sz w:val="24"/>
                <w:szCs w:val="24"/>
                <w:lang w:val="fr-FR" w:eastAsia="fr-FR"/>
              </w:rPr>
              <w:t>Valorisation</w:t>
            </w:r>
          </w:p>
        </w:tc>
      </w:tr>
      <w:tr w:rsidR="00F67144" w:rsidRPr="008A0CE2" w:rsidTr="008A0CE2">
        <w:trPr>
          <w:trHeight w:val="255"/>
          <w:jc w:val="center"/>
        </w:trPr>
        <w:tc>
          <w:tcPr>
            <w:tcW w:w="3122" w:type="dxa"/>
            <w:shd w:val="clear" w:color="auto" w:fill="B6DDE8" w:themeFill="accent5" w:themeFillTint="66"/>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Réponse au Risque\RMM</w:t>
            </w:r>
            <w:r w:rsidR="00BD53E4" w:rsidRPr="008A0CE2">
              <w:rPr>
                <w:rFonts w:ascii="Arial" w:hAnsi="Arial" w:cs="Arial"/>
                <w:sz w:val="24"/>
                <w:szCs w:val="24"/>
                <w:lang w:val="fr-FR" w:eastAsia="fr-FR"/>
              </w:rPr>
              <w:t xml:space="preserve"> –</w:t>
            </w:r>
            <w:r w:rsidR="00272860" w:rsidRPr="008A0CE2">
              <w:rPr>
                <w:rFonts w:ascii="Arial" w:hAnsi="Arial" w:cs="Arial"/>
                <w:sz w:val="24"/>
                <w:szCs w:val="24"/>
                <w:lang w:val="fr-FR" w:eastAsia="fr-FR"/>
              </w:rPr>
              <w:t xml:space="preserve"> Voir</w:t>
            </w:r>
            <w:r w:rsidR="00BD53E4" w:rsidRPr="008A0CE2">
              <w:rPr>
                <w:rFonts w:ascii="Arial" w:hAnsi="Arial" w:cs="Arial"/>
                <w:sz w:val="24"/>
                <w:szCs w:val="24"/>
                <w:lang w:val="fr-FR" w:eastAsia="fr-FR"/>
              </w:rPr>
              <w:t xml:space="preserve"> A4</w:t>
            </w:r>
            <w:r w:rsidR="00272860" w:rsidRPr="008A0CE2">
              <w:rPr>
                <w:rFonts w:ascii="Arial" w:hAnsi="Arial" w:cs="Arial"/>
                <w:sz w:val="24"/>
                <w:szCs w:val="24"/>
                <w:lang w:val="fr-FR" w:eastAsia="fr-FR"/>
              </w:rPr>
              <w:t>.</w:t>
            </w:r>
            <w:r w:rsidR="00BD53E4" w:rsidRPr="008A0CE2">
              <w:rPr>
                <w:rFonts w:ascii="Arial" w:hAnsi="Arial" w:cs="Arial"/>
                <w:sz w:val="24"/>
                <w:szCs w:val="24"/>
                <w:lang w:val="fr-FR" w:eastAsia="fr-FR"/>
              </w:rPr>
              <w:t xml:space="preserve"> Stratégie globale d’audit</w:t>
            </w:r>
          </w:p>
        </w:tc>
        <w:tc>
          <w:tcPr>
            <w:tcW w:w="1395" w:type="dxa"/>
            <w:shd w:val="clear" w:color="auto" w:fill="B6DDE8" w:themeFill="accent5" w:themeFillTint="66"/>
            <w:noWrap/>
          </w:tcPr>
          <w:p w:rsidR="00F67144" w:rsidRPr="008A0CE2" w:rsidRDefault="00F67144" w:rsidP="00776B5E">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80" w:type="dxa"/>
            <w:shd w:val="clear" w:color="auto" w:fill="B6DDE8" w:themeFill="accent5" w:themeFillTint="66"/>
            <w:noWrap/>
          </w:tcPr>
          <w:p w:rsidR="00F67144" w:rsidRPr="008A0CE2" w:rsidRDefault="00F67144" w:rsidP="00776B5E">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60" w:type="dxa"/>
            <w:shd w:val="clear" w:color="auto" w:fill="B6DDE8" w:themeFill="accent5" w:themeFillTint="66"/>
            <w:noWrap/>
          </w:tcPr>
          <w:p w:rsidR="00F67144" w:rsidRPr="008A0CE2" w:rsidRDefault="00F67144" w:rsidP="00776B5E">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420" w:type="dxa"/>
            <w:shd w:val="clear" w:color="auto" w:fill="B6DDE8" w:themeFill="accent5" w:themeFillTint="66"/>
            <w:noWrap/>
          </w:tcPr>
          <w:p w:rsidR="00F67144" w:rsidRPr="008A0CE2" w:rsidRDefault="00F67144" w:rsidP="00776B5E">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r>
      <w:tr w:rsidR="00F67144" w:rsidRPr="008A0CE2" w:rsidTr="00272860">
        <w:trPr>
          <w:trHeight w:val="255"/>
          <w:jc w:val="center"/>
        </w:trPr>
        <w:tc>
          <w:tcPr>
            <w:tcW w:w="3122"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95"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F67144" w:rsidRPr="008A0CE2" w:rsidTr="00272860">
        <w:trPr>
          <w:trHeight w:val="255"/>
          <w:jc w:val="center"/>
        </w:trPr>
        <w:tc>
          <w:tcPr>
            <w:tcW w:w="3122" w:type="dxa"/>
            <w:noWrap/>
          </w:tcPr>
          <w:p w:rsidR="00F67144" w:rsidRPr="008A0CE2" w:rsidRDefault="00BD53E4" w:rsidP="00BD53E4">
            <w:pPr>
              <w:pStyle w:val="ListParagraph"/>
              <w:numPr>
                <w:ilvl w:val="0"/>
                <w:numId w:val="34"/>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Procédure de base</w:t>
            </w:r>
          </w:p>
        </w:tc>
        <w:tc>
          <w:tcPr>
            <w:tcW w:w="1395" w:type="dxa"/>
            <w:noWrap/>
          </w:tcPr>
          <w:p w:rsidR="00F67144" w:rsidRPr="008A0CE2" w:rsidRDefault="00F67144" w:rsidP="00776B5E">
            <w:pPr>
              <w:spacing w:after="0" w:line="240" w:lineRule="auto"/>
              <w:rPr>
                <w:rFonts w:ascii="Arial" w:hAnsi="Arial" w:cs="Arial"/>
                <w:sz w:val="24"/>
                <w:szCs w:val="24"/>
                <w:lang w:val="fr-FR" w:eastAsia="fr-FR"/>
              </w:rPr>
            </w:pPr>
          </w:p>
        </w:tc>
        <w:tc>
          <w:tcPr>
            <w:tcW w:w="1380" w:type="dxa"/>
            <w:noWrap/>
          </w:tcPr>
          <w:p w:rsidR="00F67144" w:rsidRPr="008A0CE2" w:rsidRDefault="00F67144" w:rsidP="00776B5E">
            <w:pPr>
              <w:spacing w:after="0" w:line="240" w:lineRule="auto"/>
              <w:rPr>
                <w:rFonts w:ascii="Arial" w:hAnsi="Arial" w:cs="Arial"/>
                <w:sz w:val="24"/>
                <w:szCs w:val="24"/>
                <w:lang w:val="fr-FR" w:eastAsia="fr-FR"/>
              </w:rPr>
            </w:pPr>
          </w:p>
        </w:tc>
        <w:tc>
          <w:tcPr>
            <w:tcW w:w="1360" w:type="dxa"/>
            <w:noWrap/>
          </w:tcPr>
          <w:p w:rsidR="00F67144" w:rsidRPr="008A0CE2" w:rsidRDefault="00F67144" w:rsidP="00776B5E">
            <w:pPr>
              <w:spacing w:after="0" w:line="240" w:lineRule="auto"/>
              <w:rPr>
                <w:rFonts w:ascii="Arial" w:hAnsi="Arial" w:cs="Arial"/>
                <w:sz w:val="24"/>
                <w:szCs w:val="24"/>
                <w:lang w:val="fr-FR" w:eastAsia="fr-FR"/>
              </w:rPr>
            </w:pPr>
          </w:p>
        </w:tc>
        <w:tc>
          <w:tcPr>
            <w:tcW w:w="1420" w:type="dxa"/>
            <w:noWrap/>
          </w:tcPr>
          <w:p w:rsidR="00F67144" w:rsidRPr="008A0CE2" w:rsidRDefault="00F67144" w:rsidP="00776B5E">
            <w:pPr>
              <w:spacing w:after="0" w:line="240" w:lineRule="auto"/>
              <w:rPr>
                <w:rFonts w:ascii="Arial" w:hAnsi="Arial" w:cs="Arial"/>
                <w:sz w:val="24"/>
                <w:szCs w:val="24"/>
                <w:lang w:val="fr-FR" w:eastAsia="fr-FR"/>
              </w:rPr>
            </w:pPr>
          </w:p>
        </w:tc>
      </w:tr>
      <w:tr w:rsidR="00F67144" w:rsidRPr="00CC6A4F" w:rsidTr="008A0CE2">
        <w:trPr>
          <w:trHeight w:val="1364"/>
          <w:jc w:val="center"/>
        </w:trPr>
        <w:tc>
          <w:tcPr>
            <w:tcW w:w="3122" w:type="dxa"/>
            <w:noWrap/>
          </w:tcPr>
          <w:p w:rsidR="00F67144" w:rsidRPr="008A0CE2" w:rsidRDefault="008A0CE2" w:rsidP="008A0CE2">
            <w:pPr>
              <w:pStyle w:val="ListParagraph"/>
              <w:numPr>
                <w:ilvl w:val="0"/>
                <w:numId w:val="34"/>
              </w:numPr>
              <w:spacing w:before="60" w:after="60" w:line="240" w:lineRule="auto"/>
              <w:ind w:left="303" w:hanging="303"/>
              <w:jc w:val="both"/>
              <w:rPr>
                <w:rFonts w:ascii="Arial" w:hAnsi="Arial" w:cs="Arial"/>
                <w:sz w:val="24"/>
                <w:szCs w:val="24"/>
                <w:lang w:val="fr-FR" w:eastAsia="fr-FR"/>
              </w:rPr>
            </w:pPr>
            <w:r w:rsidRPr="008A0CE2">
              <w:rPr>
                <w:rFonts w:ascii="Arial" w:hAnsi="Arial" w:cs="Arial"/>
                <w:sz w:val="24"/>
                <w:szCs w:val="24"/>
                <w:lang w:val="fr-BE"/>
              </w:rPr>
              <w:t>Procédures particulière</w:t>
            </w:r>
            <w:r w:rsidR="00583932">
              <w:rPr>
                <w:rFonts w:ascii="Arial" w:hAnsi="Arial" w:cs="Arial"/>
                <w:sz w:val="24"/>
                <w:szCs w:val="24"/>
                <w:lang w:val="fr-BE"/>
              </w:rPr>
              <w:t>s</w:t>
            </w:r>
            <w:r w:rsidRPr="008A0CE2">
              <w:rPr>
                <w:rFonts w:ascii="Arial" w:hAnsi="Arial" w:cs="Arial"/>
                <w:sz w:val="24"/>
                <w:szCs w:val="24"/>
                <w:lang w:val="fr-BE"/>
              </w:rPr>
              <w:t xml:space="preserve"> pour traiter des risques spécifiques.</w:t>
            </w:r>
          </w:p>
        </w:tc>
        <w:tc>
          <w:tcPr>
            <w:tcW w:w="1395" w:type="dxa"/>
            <w:noWrap/>
          </w:tcPr>
          <w:p w:rsidR="00F67144" w:rsidRPr="008A0CE2" w:rsidRDefault="00F67144" w:rsidP="00776B5E">
            <w:pPr>
              <w:spacing w:after="0" w:line="240" w:lineRule="auto"/>
              <w:rPr>
                <w:rFonts w:ascii="Arial" w:hAnsi="Arial" w:cs="Arial"/>
                <w:sz w:val="24"/>
                <w:szCs w:val="24"/>
                <w:lang w:val="fr-FR" w:eastAsia="fr-FR"/>
              </w:rPr>
            </w:pPr>
          </w:p>
        </w:tc>
        <w:tc>
          <w:tcPr>
            <w:tcW w:w="1380" w:type="dxa"/>
            <w:noWrap/>
          </w:tcPr>
          <w:p w:rsidR="00F67144" w:rsidRPr="008A0CE2" w:rsidRDefault="00F67144" w:rsidP="00776B5E">
            <w:pPr>
              <w:spacing w:after="0" w:line="240" w:lineRule="auto"/>
              <w:rPr>
                <w:rFonts w:ascii="Arial" w:hAnsi="Arial" w:cs="Arial"/>
                <w:sz w:val="24"/>
                <w:szCs w:val="24"/>
                <w:lang w:val="fr-FR" w:eastAsia="fr-FR"/>
              </w:rPr>
            </w:pPr>
          </w:p>
        </w:tc>
        <w:tc>
          <w:tcPr>
            <w:tcW w:w="1360" w:type="dxa"/>
            <w:noWrap/>
          </w:tcPr>
          <w:p w:rsidR="00F67144" w:rsidRPr="008A0CE2" w:rsidRDefault="00F67144" w:rsidP="00776B5E">
            <w:pPr>
              <w:spacing w:after="0" w:line="240" w:lineRule="auto"/>
              <w:rPr>
                <w:rFonts w:ascii="Arial" w:hAnsi="Arial" w:cs="Arial"/>
                <w:sz w:val="24"/>
                <w:szCs w:val="24"/>
                <w:lang w:val="fr-FR" w:eastAsia="fr-FR"/>
              </w:rPr>
            </w:pPr>
          </w:p>
        </w:tc>
        <w:tc>
          <w:tcPr>
            <w:tcW w:w="1420" w:type="dxa"/>
            <w:noWrap/>
          </w:tcPr>
          <w:p w:rsidR="00F67144" w:rsidRPr="008A0CE2" w:rsidRDefault="00F67144" w:rsidP="00776B5E">
            <w:pPr>
              <w:spacing w:after="0" w:line="240" w:lineRule="auto"/>
              <w:rPr>
                <w:rFonts w:ascii="Arial" w:hAnsi="Arial" w:cs="Arial"/>
                <w:sz w:val="24"/>
                <w:szCs w:val="24"/>
                <w:lang w:val="fr-FR" w:eastAsia="fr-FR"/>
              </w:rPr>
            </w:pPr>
          </w:p>
        </w:tc>
      </w:tr>
      <w:tr w:rsidR="00F67144" w:rsidRPr="008A0CE2" w:rsidTr="00272860">
        <w:trPr>
          <w:trHeight w:val="255"/>
          <w:jc w:val="center"/>
        </w:trPr>
        <w:tc>
          <w:tcPr>
            <w:tcW w:w="3122" w:type="dxa"/>
            <w:noWrap/>
          </w:tcPr>
          <w:p w:rsidR="00F67144" w:rsidRPr="008A0CE2" w:rsidRDefault="00F67144" w:rsidP="00BD53E4">
            <w:pPr>
              <w:pStyle w:val="ListParagraph"/>
              <w:numPr>
                <w:ilvl w:val="0"/>
                <w:numId w:val="34"/>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Tests de procédure</w:t>
            </w:r>
            <w:r w:rsidR="0032510D" w:rsidRPr="008A0CE2">
              <w:rPr>
                <w:rFonts w:ascii="Arial" w:hAnsi="Arial" w:cs="Arial"/>
                <w:sz w:val="24"/>
                <w:szCs w:val="24"/>
                <w:lang w:val="fr-FR" w:eastAsia="fr-FR"/>
              </w:rPr>
              <w:t>s</w:t>
            </w:r>
          </w:p>
        </w:tc>
        <w:tc>
          <w:tcPr>
            <w:tcW w:w="1395"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F67144" w:rsidRPr="008A0CE2" w:rsidRDefault="00F6714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BD53E4" w:rsidRPr="008A0CE2" w:rsidTr="00272860">
        <w:trPr>
          <w:trHeight w:val="255"/>
          <w:jc w:val="center"/>
        </w:trPr>
        <w:tc>
          <w:tcPr>
            <w:tcW w:w="8677" w:type="dxa"/>
            <w:gridSpan w:val="5"/>
            <w:noWrap/>
          </w:tcPr>
          <w:p w:rsidR="00BD53E4" w:rsidRPr="008A0CE2" w:rsidRDefault="00BD53E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Commentaires </w:t>
            </w:r>
          </w:p>
          <w:p w:rsidR="00BD53E4" w:rsidRPr="008A0CE2" w:rsidRDefault="00BD53E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BD53E4" w:rsidRPr="008A0CE2" w:rsidRDefault="00BD53E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BD53E4" w:rsidRPr="008A0CE2" w:rsidRDefault="00BD53E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BD53E4" w:rsidRPr="008A0CE2" w:rsidRDefault="00BD53E4" w:rsidP="00776B5E">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bl>
    <w:p w:rsidR="00F67144" w:rsidRPr="000214A5" w:rsidRDefault="00F67144">
      <w:pPr>
        <w:rPr>
          <w:rFonts w:ascii="Arial" w:hAnsi="Arial" w:cs="Arial"/>
          <w:sz w:val="20"/>
          <w:szCs w:val="20"/>
          <w:lang w:val="fr-BE"/>
        </w:rPr>
      </w:pPr>
      <w:r>
        <w:rPr>
          <w:rFonts w:ascii="Arial" w:hAnsi="Arial" w:cs="Arial"/>
          <w:sz w:val="20"/>
          <w:szCs w:val="20"/>
          <w:lang w:val="fr-BE"/>
        </w:rPr>
        <w:br w:type="page"/>
      </w:r>
      <w:r w:rsidRPr="000214A5">
        <w:rPr>
          <w:rFonts w:ascii="Arial" w:hAnsi="Arial" w:cs="Arial"/>
          <w:sz w:val="20"/>
          <w:szCs w:val="20"/>
          <w:lang w:val="fr-BE"/>
        </w:rPr>
        <w:lastRenderedPageBreak/>
        <w:t>Ri</w:t>
      </w:r>
      <w:r>
        <w:rPr>
          <w:rFonts w:ascii="Arial" w:hAnsi="Arial" w:cs="Arial"/>
          <w:sz w:val="20"/>
          <w:szCs w:val="20"/>
          <w:lang w:val="fr-BE"/>
        </w:rPr>
        <w:t>s</w:t>
      </w:r>
      <w:r w:rsidRPr="000214A5">
        <w:rPr>
          <w:rFonts w:ascii="Arial" w:hAnsi="Arial" w:cs="Arial"/>
          <w:sz w:val="20"/>
          <w:szCs w:val="20"/>
          <w:lang w:val="fr-BE"/>
        </w:rPr>
        <w:t>que</w:t>
      </w:r>
      <w:r>
        <w:rPr>
          <w:rFonts w:ascii="Arial" w:hAnsi="Arial" w:cs="Arial"/>
          <w:sz w:val="20"/>
          <w:szCs w:val="20"/>
          <w:lang w:val="fr-BE"/>
        </w:rPr>
        <w:t>s</w:t>
      </w:r>
      <w:r w:rsidRPr="000214A5">
        <w:rPr>
          <w:rFonts w:ascii="Arial" w:hAnsi="Arial" w:cs="Arial"/>
          <w:sz w:val="20"/>
          <w:szCs w:val="20"/>
          <w:lang w:val="fr-BE"/>
        </w:rPr>
        <w:t xml:space="preserve"> d'anomalie significative au niveau des </w:t>
      </w:r>
      <w:r>
        <w:rPr>
          <w:rFonts w:ascii="Arial" w:hAnsi="Arial" w:cs="Arial"/>
          <w:sz w:val="20"/>
          <w:szCs w:val="20"/>
          <w:lang w:val="fr-BE"/>
        </w:rPr>
        <w:t xml:space="preserve">comptes annuels </w:t>
      </w:r>
      <w:r w:rsidRPr="000214A5">
        <w:rPr>
          <w:rFonts w:ascii="Arial" w:hAnsi="Arial" w:cs="Arial"/>
          <w:sz w:val="20"/>
          <w:szCs w:val="20"/>
          <w:lang w:val="fr-BE"/>
        </w:rPr>
        <w:t>pris dans leur ensemble</w:t>
      </w:r>
      <w:r>
        <w:rPr>
          <w:rFonts w:ascii="Arial" w:hAnsi="Arial" w:cs="Arial"/>
          <w:sz w:val="20"/>
          <w:szCs w:val="20"/>
          <w:lang w:val="fr-BE"/>
        </w:rPr>
        <w:t xml:space="preserve"> : (élevé, moyen, faible)</w:t>
      </w:r>
    </w:p>
    <w:tbl>
      <w:tblPr>
        <w:tblW w:w="13724" w:type="dxa"/>
        <w:tblLayout w:type="fixed"/>
        <w:tblLook w:val="00A0" w:firstRow="1" w:lastRow="0" w:firstColumn="1" w:lastColumn="0" w:noHBand="0" w:noVBand="0"/>
      </w:tblPr>
      <w:tblGrid>
        <w:gridCol w:w="534"/>
        <w:gridCol w:w="3984"/>
        <w:gridCol w:w="569"/>
        <w:gridCol w:w="709"/>
        <w:gridCol w:w="1134"/>
        <w:gridCol w:w="992"/>
        <w:gridCol w:w="1134"/>
        <w:gridCol w:w="992"/>
        <w:gridCol w:w="3676"/>
      </w:tblGrid>
      <w:tr w:rsidR="00BD53E4" w:rsidRPr="00A91AF9" w:rsidTr="00CC6A4F">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BD53E4" w:rsidRPr="000765A3" w:rsidRDefault="00BD53E4" w:rsidP="000765A3">
            <w:pPr>
              <w:spacing w:before="60" w:after="60" w:line="240" w:lineRule="auto"/>
              <w:jc w:val="center"/>
              <w:rPr>
                <w:rFonts w:ascii="Garamond" w:hAnsi="Garamond" w:cs="Arial"/>
                <w:b/>
                <w:bCs/>
                <w:sz w:val="18"/>
                <w:szCs w:val="18"/>
                <w:lang w:val="fr-BE"/>
              </w:rPr>
            </w:pPr>
          </w:p>
        </w:tc>
        <w:tc>
          <w:tcPr>
            <w:tcW w:w="3984"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A91AF9">
            <w:pPr>
              <w:spacing w:before="60" w:after="60" w:line="240" w:lineRule="auto"/>
              <w:jc w:val="center"/>
              <w:rPr>
                <w:rFonts w:ascii="Arial" w:hAnsi="Arial" w:cs="Arial"/>
                <w:b/>
                <w:bCs/>
                <w:sz w:val="18"/>
                <w:szCs w:val="18"/>
                <w:lang w:val="fr-BE"/>
              </w:rPr>
            </w:pPr>
          </w:p>
          <w:p w:rsidR="00BD53E4" w:rsidRPr="00A91AF9" w:rsidRDefault="00BD53E4" w:rsidP="00A91AF9">
            <w:pPr>
              <w:spacing w:before="60" w:after="60" w:line="240" w:lineRule="auto"/>
              <w:jc w:val="center"/>
              <w:rPr>
                <w:rFonts w:ascii="Arial" w:hAnsi="Arial" w:cs="Arial"/>
                <w:b/>
                <w:bCs/>
                <w:sz w:val="18"/>
                <w:szCs w:val="18"/>
                <w:lang w:val="fr-BE"/>
              </w:rPr>
            </w:pPr>
          </w:p>
          <w:p w:rsidR="00BD53E4" w:rsidRPr="00A91AF9" w:rsidRDefault="00BD53E4" w:rsidP="00A91AF9">
            <w:pPr>
              <w:spacing w:before="60" w:after="60" w:line="240" w:lineRule="auto"/>
              <w:jc w:val="center"/>
              <w:rPr>
                <w:rFonts w:ascii="Arial" w:hAnsi="Arial" w:cs="Arial"/>
                <w:b/>
                <w:bCs/>
                <w:sz w:val="18"/>
                <w:szCs w:val="18"/>
                <w:lang w:val="fr-BE"/>
              </w:rPr>
            </w:pPr>
          </w:p>
          <w:p w:rsidR="00BD53E4" w:rsidRPr="00A91AF9" w:rsidRDefault="00BD53E4" w:rsidP="00A91AF9">
            <w:pPr>
              <w:spacing w:before="60" w:after="60" w:line="240" w:lineRule="auto"/>
              <w:jc w:val="center"/>
              <w:rPr>
                <w:rFonts w:ascii="Arial" w:hAnsi="Arial" w:cs="Arial"/>
                <w:b/>
                <w:bCs/>
                <w:sz w:val="18"/>
                <w:szCs w:val="18"/>
                <w:lang w:val="fr-BE"/>
              </w:rPr>
            </w:pPr>
            <w:r w:rsidRPr="00A91AF9">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A91AF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A91AF9">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A91AF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A91AF9">
              <w:rPr>
                <w:rFonts w:ascii="Arial" w:hAnsi="Arial" w:cs="Arial"/>
                <w:b/>
                <w:sz w:val="18"/>
                <w:szCs w:val="18"/>
                <w:lang w:val="fr-BE"/>
              </w:rPr>
              <w:t>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A91AF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A91AF9">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A91AF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A91AF9">
              <w:rPr>
                <w:rFonts w:ascii="Arial" w:hAnsi="Arial" w:cs="Arial"/>
                <w:b/>
                <w:sz w:val="18"/>
                <w:szCs w:val="18"/>
                <w:lang w:val="fr-BE"/>
              </w:rPr>
              <w:t>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A91AF9">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A91AF9">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A91AF9">
            <w:pPr>
              <w:spacing w:before="60" w:after="60" w:line="240" w:lineRule="auto"/>
              <w:jc w:val="center"/>
              <w:rPr>
                <w:rFonts w:ascii="Arial" w:hAnsi="Arial" w:cs="Arial"/>
                <w:b/>
                <w:sz w:val="18"/>
                <w:szCs w:val="18"/>
                <w:lang w:val="fr-BE"/>
              </w:rPr>
            </w:pPr>
          </w:p>
          <w:p w:rsidR="00BD53E4" w:rsidRPr="00A91AF9" w:rsidRDefault="00BD53E4" w:rsidP="00A91AF9">
            <w:pPr>
              <w:spacing w:before="60" w:after="60" w:line="240" w:lineRule="auto"/>
              <w:jc w:val="center"/>
              <w:rPr>
                <w:rFonts w:ascii="Arial" w:hAnsi="Arial" w:cs="Arial"/>
                <w:b/>
                <w:sz w:val="18"/>
                <w:szCs w:val="18"/>
                <w:lang w:val="fr-BE"/>
              </w:rPr>
            </w:pPr>
          </w:p>
          <w:p w:rsidR="00BD53E4" w:rsidRPr="00A91AF9" w:rsidRDefault="00BD53E4" w:rsidP="00A91AF9">
            <w:pPr>
              <w:spacing w:before="60" w:after="60" w:line="240" w:lineRule="auto"/>
              <w:jc w:val="center"/>
              <w:rPr>
                <w:rFonts w:ascii="Arial" w:hAnsi="Arial" w:cs="Arial"/>
                <w:b/>
                <w:sz w:val="18"/>
                <w:szCs w:val="18"/>
                <w:lang w:val="fr-BE"/>
              </w:rPr>
            </w:pPr>
          </w:p>
          <w:p w:rsidR="00BD53E4" w:rsidRPr="00A91AF9" w:rsidRDefault="00BD53E4" w:rsidP="00A91AF9">
            <w:pPr>
              <w:spacing w:before="60" w:after="60" w:line="240" w:lineRule="auto"/>
              <w:jc w:val="center"/>
              <w:rPr>
                <w:rFonts w:ascii="Arial" w:hAnsi="Arial" w:cs="Arial"/>
                <w:b/>
                <w:sz w:val="18"/>
                <w:szCs w:val="18"/>
                <w:lang w:val="fr-BE"/>
              </w:rPr>
            </w:pPr>
            <w:r w:rsidRPr="00A91AF9">
              <w:rPr>
                <w:rFonts w:ascii="Arial" w:hAnsi="Arial" w:cs="Arial"/>
                <w:b/>
                <w:sz w:val="18"/>
                <w:szCs w:val="18"/>
                <w:lang w:val="fr-BE"/>
              </w:rPr>
              <w:t>Commentaires</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534" w:type="dxa"/>
            <w:shd w:val="clear" w:color="auto" w:fill="A6A6A6" w:themeFill="background1" w:themeFillShade="A6"/>
          </w:tcPr>
          <w:p w:rsidR="00BD53E4" w:rsidRPr="00CC6A4F" w:rsidRDefault="00BD53E4" w:rsidP="000765A3">
            <w:pPr>
              <w:spacing w:before="60" w:after="60" w:line="240" w:lineRule="auto"/>
              <w:jc w:val="center"/>
              <w:rPr>
                <w:rFonts w:ascii="Arial" w:hAnsi="Arial" w:cs="Arial"/>
                <w:b/>
                <w:bCs/>
                <w:sz w:val="18"/>
                <w:szCs w:val="18"/>
                <w:lang w:val="fr-BE"/>
              </w:rPr>
            </w:pPr>
            <w:r w:rsidRPr="00CC6A4F">
              <w:rPr>
                <w:rFonts w:ascii="Arial" w:hAnsi="Arial" w:cs="Arial"/>
                <w:b/>
                <w:bCs/>
                <w:sz w:val="18"/>
                <w:szCs w:val="18"/>
                <w:lang w:val="fr-BE"/>
              </w:rPr>
              <w:t>A</w:t>
            </w:r>
            <w:r w:rsidR="00CC6A4F">
              <w:rPr>
                <w:rFonts w:ascii="Arial" w:hAnsi="Arial" w:cs="Arial"/>
                <w:b/>
                <w:bCs/>
                <w:sz w:val="18"/>
                <w:szCs w:val="18"/>
                <w:lang w:val="fr-BE"/>
              </w:rPr>
              <w:t>.</w:t>
            </w:r>
          </w:p>
        </w:tc>
        <w:tc>
          <w:tcPr>
            <w:tcW w:w="13190" w:type="dxa"/>
            <w:gridSpan w:val="8"/>
            <w:shd w:val="clear" w:color="auto" w:fill="A6A6A6" w:themeFill="background1" w:themeFillShade="A6"/>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b/>
                <w:bCs/>
                <w:sz w:val="18"/>
                <w:szCs w:val="18"/>
                <w:lang w:val="fr-BE"/>
              </w:rPr>
              <w:t>Procédures de base</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534" w:type="dxa"/>
            <w:shd w:val="clear" w:color="auto" w:fill="D9D9D9" w:themeFill="background1" w:themeFillShade="D9"/>
          </w:tcPr>
          <w:p w:rsidR="00BD53E4" w:rsidRPr="00CC6A4F" w:rsidRDefault="000765A3" w:rsidP="000765A3">
            <w:pPr>
              <w:spacing w:before="60" w:after="60" w:line="240" w:lineRule="auto"/>
              <w:jc w:val="center"/>
              <w:rPr>
                <w:rFonts w:ascii="Arial" w:hAnsi="Arial" w:cs="Arial"/>
                <w:b/>
                <w:bCs/>
                <w:sz w:val="18"/>
                <w:szCs w:val="18"/>
                <w:lang w:val="fr-BE"/>
              </w:rPr>
            </w:pPr>
            <w:r w:rsidRPr="00CC6A4F">
              <w:rPr>
                <w:rFonts w:ascii="Arial" w:hAnsi="Arial" w:cs="Arial"/>
                <w:b/>
                <w:bCs/>
                <w:sz w:val="18"/>
                <w:szCs w:val="18"/>
                <w:lang w:val="fr-BE"/>
              </w:rPr>
              <w:t>1</w:t>
            </w:r>
            <w:r w:rsidR="00CC6A4F">
              <w:rPr>
                <w:rFonts w:ascii="Arial" w:hAnsi="Arial" w:cs="Arial"/>
                <w:b/>
                <w:bCs/>
                <w:sz w:val="18"/>
                <w:szCs w:val="18"/>
                <w:lang w:val="fr-BE"/>
              </w:rPr>
              <w:t>.</w:t>
            </w:r>
          </w:p>
        </w:tc>
        <w:tc>
          <w:tcPr>
            <w:tcW w:w="13190" w:type="dxa"/>
            <w:gridSpan w:val="8"/>
            <w:shd w:val="clear" w:color="auto" w:fill="D9D9D9" w:themeFill="background1" w:themeFillShade="D9"/>
          </w:tcPr>
          <w:p w:rsidR="00BD53E4" w:rsidRPr="000214A5" w:rsidRDefault="00BD53E4" w:rsidP="00CC6A4F">
            <w:pPr>
              <w:spacing w:before="60" w:after="60" w:line="240" w:lineRule="auto"/>
              <w:jc w:val="both"/>
              <w:rPr>
                <w:rFonts w:ascii="Arial" w:hAnsi="Arial" w:cs="Arial"/>
                <w:b/>
                <w:bCs/>
                <w:sz w:val="18"/>
                <w:szCs w:val="18"/>
                <w:lang w:val="fr-BE"/>
              </w:rPr>
            </w:pPr>
            <w:r w:rsidRPr="000214A5">
              <w:rPr>
                <w:rFonts w:ascii="Arial" w:hAnsi="Arial" w:cs="Arial"/>
                <w:b/>
                <w:bCs/>
                <w:sz w:val="18"/>
                <w:szCs w:val="18"/>
                <w:lang w:val="fr-BE"/>
              </w:rPr>
              <w:t>Procédures analytiques</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BD53E4" w:rsidRPr="000765A3" w:rsidRDefault="00BD53E4" w:rsidP="000765A3">
            <w:pPr>
              <w:spacing w:before="60" w:after="60" w:line="240" w:lineRule="auto"/>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27"/>
              </w:numPr>
              <w:spacing w:before="60" w:after="60" w:line="240" w:lineRule="auto"/>
              <w:ind w:left="426" w:hanging="284"/>
              <w:contextualSpacing w:val="0"/>
              <w:jc w:val="both"/>
              <w:rPr>
                <w:rFonts w:ascii="Arial" w:hAnsi="Arial" w:cs="Arial"/>
                <w:sz w:val="18"/>
                <w:szCs w:val="18"/>
                <w:lang w:val="fr-BE"/>
              </w:rPr>
            </w:pPr>
            <w:r w:rsidRPr="000214A5">
              <w:rPr>
                <w:rFonts w:ascii="Arial" w:hAnsi="Arial" w:cs="Arial"/>
                <w:sz w:val="18"/>
                <w:szCs w:val="18"/>
                <w:lang w:val="fr-BE"/>
              </w:rPr>
              <w:t>Coût des ventes</w:t>
            </w:r>
            <w:r>
              <w:rPr>
                <w:rFonts w:ascii="Arial" w:hAnsi="Arial" w:cs="Arial"/>
                <w:sz w:val="18"/>
                <w:szCs w:val="18"/>
                <w:lang w:val="fr-BE"/>
              </w:rPr>
              <w:t xml:space="preserve"> </w:t>
            </w:r>
            <w:r w:rsidRPr="000214A5">
              <w:rPr>
                <w:rFonts w:ascii="Arial" w:hAnsi="Arial" w:cs="Arial"/>
                <w:sz w:val="18"/>
                <w:szCs w:val="18"/>
                <w:lang w:val="fr-BE"/>
              </w:rPr>
              <w:t>: voir programme des VENTES</w:t>
            </w:r>
            <w:r>
              <w:rPr>
                <w:rFonts w:ascii="Arial" w:hAnsi="Arial" w:cs="Arial"/>
                <w:sz w:val="18"/>
                <w:szCs w:val="18"/>
                <w:lang w:val="fr-BE"/>
              </w:rPr>
              <w:t>.</w:t>
            </w:r>
          </w:p>
        </w:tc>
        <w:tc>
          <w:tcPr>
            <w:tcW w:w="56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X</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2"/>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27"/>
              </w:numPr>
              <w:spacing w:before="60" w:after="60" w:line="240" w:lineRule="auto"/>
              <w:ind w:left="426" w:hanging="284"/>
              <w:contextualSpacing w:val="0"/>
              <w:jc w:val="both"/>
              <w:rPr>
                <w:rFonts w:ascii="Arial" w:hAnsi="Arial" w:cs="Arial"/>
                <w:sz w:val="18"/>
                <w:szCs w:val="18"/>
                <w:lang w:val="fr-BE"/>
              </w:rPr>
            </w:pPr>
            <w:r w:rsidRPr="000214A5">
              <w:rPr>
                <w:rFonts w:ascii="Arial" w:hAnsi="Arial" w:cs="Arial"/>
                <w:sz w:val="18"/>
                <w:szCs w:val="18"/>
                <w:lang w:val="fr-BE"/>
              </w:rPr>
              <w:t>Envisager la nécessité d'analyser d'autres ratios selon les circonstances (par exemple comparer le ratio des déchets de production en pourcentage du coût des ventes à des périodes antérieures). Analyser toutes les fluctuations inhabituelles ou inattendues.</w:t>
            </w:r>
          </w:p>
        </w:tc>
        <w:tc>
          <w:tcPr>
            <w:tcW w:w="56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X</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BD53E4" w:rsidRPr="000765A3" w:rsidRDefault="00BD53E4" w:rsidP="000765A3">
            <w:pPr>
              <w:spacing w:before="60" w:after="60" w:line="240" w:lineRule="auto"/>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27"/>
              </w:numPr>
              <w:spacing w:before="60" w:after="60" w:line="240" w:lineRule="auto"/>
              <w:ind w:left="426" w:hanging="284"/>
              <w:contextualSpacing w:val="0"/>
              <w:jc w:val="both"/>
              <w:rPr>
                <w:rFonts w:ascii="Arial" w:hAnsi="Arial" w:cs="Arial"/>
                <w:sz w:val="18"/>
                <w:szCs w:val="18"/>
                <w:lang w:val="fr-BE"/>
              </w:rPr>
            </w:pPr>
            <w:r w:rsidRPr="000214A5">
              <w:rPr>
                <w:rFonts w:ascii="Arial" w:hAnsi="Arial" w:cs="Arial"/>
                <w:sz w:val="18"/>
                <w:szCs w:val="18"/>
                <w:lang w:val="fr-BE"/>
              </w:rPr>
              <w:t>Analyser les changements significatifs ou les tendances dans :</w:t>
            </w:r>
          </w:p>
        </w:tc>
        <w:tc>
          <w:tcPr>
            <w:tcW w:w="56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X</w:t>
            </w:r>
          </w:p>
        </w:tc>
        <w:tc>
          <w:tcPr>
            <w:tcW w:w="70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X</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12"/>
              </w:numPr>
              <w:spacing w:before="60" w:after="60" w:line="240" w:lineRule="auto"/>
              <w:ind w:left="709" w:hanging="283"/>
              <w:contextualSpacing w:val="0"/>
              <w:jc w:val="both"/>
              <w:rPr>
                <w:rFonts w:ascii="Arial" w:hAnsi="Arial" w:cs="Arial"/>
                <w:sz w:val="18"/>
                <w:szCs w:val="18"/>
                <w:lang w:val="fr-BE"/>
              </w:rPr>
            </w:pPr>
            <w:r w:rsidRPr="000214A5">
              <w:rPr>
                <w:rFonts w:ascii="Arial" w:hAnsi="Arial" w:cs="Arial"/>
                <w:sz w:val="18"/>
                <w:szCs w:val="18"/>
                <w:lang w:val="fr-BE"/>
              </w:rPr>
              <w:t xml:space="preserve">le solde des dettes commerciales et charges à payer par rapport à l'exercice </w:t>
            </w:r>
            <w:r>
              <w:rPr>
                <w:rFonts w:ascii="Arial" w:hAnsi="Arial" w:cs="Arial"/>
                <w:sz w:val="18"/>
                <w:szCs w:val="18"/>
                <w:lang w:val="fr-BE"/>
              </w:rPr>
              <w:t>précédent ;</w:t>
            </w:r>
          </w:p>
        </w:tc>
        <w:tc>
          <w:tcPr>
            <w:tcW w:w="56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rPr>
          <w:trHeight w:val="1967"/>
        </w:trPr>
        <w:tc>
          <w:tcPr>
            <w:tcW w:w="534" w:type="dxa"/>
            <w:tcBorders>
              <w:top w:val="single" w:sz="4" w:space="0" w:color="auto"/>
              <w:left w:val="single" w:sz="4" w:space="0" w:color="auto"/>
              <w:bottom w:val="single" w:sz="4" w:space="0" w:color="auto"/>
              <w:right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top w:val="single" w:sz="4" w:space="0" w:color="auto"/>
              <w:left w:val="single" w:sz="4" w:space="0" w:color="auto"/>
              <w:bottom w:val="single" w:sz="4" w:space="0" w:color="auto"/>
              <w:right w:val="single" w:sz="4" w:space="0" w:color="auto"/>
            </w:tcBorders>
          </w:tcPr>
          <w:p w:rsidR="00BD53E4" w:rsidRPr="000214A5" w:rsidRDefault="00BD53E4" w:rsidP="00CD1BE8">
            <w:pPr>
              <w:pStyle w:val="ListParagraph"/>
              <w:numPr>
                <w:ilvl w:val="0"/>
                <w:numId w:val="12"/>
              </w:numPr>
              <w:spacing w:before="60" w:after="60" w:line="240" w:lineRule="auto"/>
              <w:ind w:left="709" w:hanging="283"/>
              <w:contextualSpacing w:val="0"/>
              <w:jc w:val="both"/>
              <w:rPr>
                <w:rFonts w:ascii="Arial" w:hAnsi="Arial" w:cs="Arial"/>
                <w:sz w:val="18"/>
                <w:szCs w:val="18"/>
                <w:lang w:val="fr-BE"/>
              </w:rPr>
            </w:pPr>
            <w:r w:rsidRPr="000214A5">
              <w:rPr>
                <w:rFonts w:ascii="Arial" w:hAnsi="Arial" w:cs="Arial"/>
                <w:sz w:val="18"/>
                <w:szCs w:val="18"/>
                <w:lang w:val="fr-BE"/>
              </w:rPr>
              <w:t>la composition des comptes de dettes commerciales et des charges à payer par rapport à l'exercice précédent. (Examiner les effets de changement de termes de paiement, les remises, les nouveaux concurrents, changement dans la proportion des soldes débiteurs, "l'âge" des dettes</w:t>
            </w:r>
            <w:r>
              <w:rPr>
                <w:rFonts w:ascii="Arial" w:hAnsi="Arial" w:cs="Arial"/>
                <w:sz w:val="18"/>
                <w:szCs w:val="18"/>
                <w:lang w:val="fr-BE"/>
              </w:rPr>
              <w:t>,</w:t>
            </w:r>
            <w:r w:rsidRPr="000214A5">
              <w:rPr>
                <w:rFonts w:ascii="Arial" w:hAnsi="Arial" w:cs="Arial"/>
                <w:sz w:val="18"/>
                <w:szCs w:val="18"/>
                <w:lang w:val="fr-BE"/>
              </w:rPr>
              <w:t xml:space="preserve"> etc</w:t>
            </w:r>
            <w:r>
              <w:rPr>
                <w:rFonts w:ascii="Arial" w:hAnsi="Arial" w:cs="Arial"/>
                <w:sz w:val="18"/>
                <w:szCs w:val="18"/>
                <w:lang w:val="fr-BE"/>
              </w:rPr>
              <w:t>.</w:t>
            </w:r>
            <w:r w:rsidRPr="000214A5">
              <w:rPr>
                <w:rFonts w:ascii="Arial" w:hAnsi="Arial" w:cs="Arial"/>
                <w:sz w:val="18"/>
                <w:szCs w:val="18"/>
                <w:lang w:val="fr-BE"/>
              </w:rPr>
              <w:t>)</w:t>
            </w:r>
            <w:r>
              <w:rPr>
                <w:rFonts w:ascii="Arial" w:hAnsi="Arial" w:cs="Arial"/>
                <w:sz w:val="18"/>
                <w:szCs w:val="18"/>
                <w:lang w:val="fr-BE"/>
              </w:rPr>
              <w:t>.</w:t>
            </w:r>
          </w:p>
        </w:tc>
        <w:tc>
          <w:tcPr>
            <w:tcW w:w="56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rPr>
          <w:trHeight w:val="495"/>
        </w:trPr>
        <w:tc>
          <w:tcPr>
            <w:tcW w:w="534" w:type="dxa"/>
            <w:tcBorders>
              <w:top w:val="single" w:sz="4" w:space="0" w:color="auto"/>
              <w:left w:val="single" w:sz="4" w:space="0" w:color="auto"/>
              <w:bottom w:val="single" w:sz="4" w:space="0" w:color="auto"/>
              <w:right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top w:val="single" w:sz="4" w:space="0" w:color="auto"/>
              <w:left w:val="single" w:sz="4" w:space="0" w:color="auto"/>
              <w:bottom w:val="single" w:sz="4" w:space="0" w:color="auto"/>
              <w:right w:val="single" w:sz="4" w:space="0" w:color="auto"/>
            </w:tcBorders>
          </w:tcPr>
          <w:p w:rsidR="00BD53E4" w:rsidRPr="000214A5" w:rsidRDefault="00BD53E4" w:rsidP="00CD1BE8">
            <w:pPr>
              <w:pStyle w:val="ListParagraph"/>
              <w:numPr>
                <w:ilvl w:val="0"/>
                <w:numId w:val="12"/>
              </w:numPr>
              <w:spacing w:before="60" w:after="60" w:line="240" w:lineRule="auto"/>
              <w:ind w:left="709" w:hanging="283"/>
              <w:contextualSpacing w:val="0"/>
              <w:jc w:val="both"/>
              <w:rPr>
                <w:rFonts w:ascii="Arial" w:hAnsi="Arial" w:cs="Arial"/>
                <w:sz w:val="18"/>
                <w:szCs w:val="18"/>
                <w:lang w:val="fr-BE"/>
              </w:rPr>
            </w:pPr>
            <w:r>
              <w:rPr>
                <w:rFonts w:ascii="Arial" w:hAnsi="Arial" w:cs="Arial"/>
                <w:sz w:val="18"/>
                <w:szCs w:val="18"/>
                <w:lang w:val="fr-BE"/>
              </w:rPr>
              <w:t>L</w:t>
            </w:r>
            <w:r w:rsidRPr="000214A5">
              <w:rPr>
                <w:rFonts w:ascii="Arial" w:hAnsi="Arial" w:cs="Arial"/>
                <w:sz w:val="18"/>
                <w:szCs w:val="18"/>
                <w:lang w:val="fr-BE"/>
              </w:rPr>
              <w:t>es ratios clés par rapport aux exercices précédents</w:t>
            </w:r>
            <w:r>
              <w:rPr>
                <w:rFonts w:ascii="Arial" w:hAnsi="Arial" w:cs="Arial"/>
                <w:sz w:val="18"/>
                <w:szCs w:val="18"/>
                <w:lang w:val="fr-BE"/>
              </w:rPr>
              <w:t xml:space="preserve"> </w:t>
            </w:r>
            <w:r w:rsidRPr="000214A5">
              <w:rPr>
                <w:rFonts w:ascii="Arial" w:hAnsi="Arial" w:cs="Arial"/>
                <w:sz w:val="18"/>
                <w:szCs w:val="18"/>
                <w:lang w:val="fr-BE"/>
              </w:rPr>
              <w:t>:</w:t>
            </w:r>
          </w:p>
        </w:tc>
        <w:tc>
          <w:tcPr>
            <w:tcW w:w="56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A91AF9" w:rsidTr="00CC6A4F">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BD53E4" w:rsidRPr="000765A3" w:rsidRDefault="00BD53E4" w:rsidP="000765A3">
            <w:pPr>
              <w:spacing w:before="60" w:after="60" w:line="240" w:lineRule="auto"/>
              <w:ind w:hanging="283"/>
              <w:jc w:val="center"/>
              <w:rPr>
                <w:rFonts w:ascii="Garamond" w:hAnsi="Garamond" w:cs="Arial"/>
                <w:b/>
                <w:bCs/>
                <w:sz w:val="18"/>
                <w:szCs w:val="18"/>
                <w:lang w:val="fr-BE"/>
              </w:rPr>
            </w:pPr>
          </w:p>
        </w:tc>
        <w:tc>
          <w:tcPr>
            <w:tcW w:w="3984"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CD1BE8">
            <w:pPr>
              <w:spacing w:before="60" w:after="60" w:line="240" w:lineRule="auto"/>
              <w:ind w:left="709" w:hanging="283"/>
              <w:jc w:val="center"/>
              <w:rPr>
                <w:rFonts w:ascii="Arial" w:hAnsi="Arial" w:cs="Arial"/>
                <w:b/>
                <w:bCs/>
                <w:sz w:val="18"/>
                <w:szCs w:val="18"/>
                <w:lang w:val="fr-BE"/>
              </w:rPr>
            </w:pPr>
          </w:p>
          <w:p w:rsidR="00BD53E4" w:rsidRPr="00A91AF9" w:rsidRDefault="00BD53E4" w:rsidP="00CD1BE8">
            <w:pPr>
              <w:spacing w:before="60" w:after="60" w:line="240" w:lineRule="auto"/>
              <w:ind w:left="709" w:hanging="283"/>
              <w:jc w:val="center"/>
              <w:rPr>
                <w:rFonts w:ascii="Arial" w:hAnsi="Arial" w:cs="Arial"/>
                <w:b/>
                <w:bCs/>
                <w:sz w:val="18"/>
                <w:szCs w:val="18"/>
                <w:lang w:val="fr-BE"/>
              </w:rPr>
            </w:pPr>
          </w:p>
          <w:p w:rsidR="00BD53E4" w:rsidRPr="00A91AF9" w:rsidRDefault="00BD53E4" w:rsidP="00CD1BE8">
            <w:pPr>
              <w:spacing w:before="60" w:after="60" w:line="240" w:lineRule="auto"/>
              <w:ind w:left="709" w:hanging="283"/>
              <w:jc w:val="center"/>
              <w:rPr>
                <w:rFonts w:ascii="Arial" w:hAnsi="Arial" w:cs="Arial"/>
                <w:b/>
                <w:bCs/>
                <w:sz w:val="18"/>
                <w:szCs w:val="18"/>
                <w:lang w:val="fr-BE"/>
              </w:rPr>
            </w:pPr>
            <w:r w:rsidRPr="00A91AF9">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A91AF9">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A91AF9">
              <w:rPr>
                <w:rFonts w:ascii="Arial" w:hAnsi="Arial" w:cs="Arial"/>
                <w:b/>
                <w:sz w:val="18"/>
                <w:szCs w:val="18"/>
                <w:lang w:val="fr-BE"/>
              </w:rPr>
              <w:t>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A91AF9">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A91AF9">
              <w:rPr>
                <w:rFonts w:ascii="Arial" w:hAnsi="Arial" w:cs="Arial"/>
                <w:b/>
                <w:sz w:val="18"/>
                <w:szCs w:val="18"/>
                <w:lang w:val="fr-BE"/>
              </w:rPr>
              <w:t>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776B5E">
            <w:pPr>
              <w:spacing w:before="60" w:after="60" w:line="240" w:lineRule="auto"/>
              <w:jc w:val="center"/>
              <w:rPr>
                <w:rFonts w:ascii="Arial" w:hAnsi="Arial" w:cs="Arial"/>
                <w:b/>
                <w:sz w:val="18"/>
                <w:szCs w:val="18"/>
                <w:lang w:val="fr-BE"/>
              </w:rPr>
            </w:pPr>
          </w:p>
          <w:p w:rsidR="00BD53E4" w:rsidRPr="00A91AF9" w:rsidRDefault="00BD53E4" w:rsidP="00776B5E">
            <w:pPr>
              <w:spacing w:before="60" w:after="60" w:line="240" w:lineRule="auto"/>
              <w:jc w:val="center"/>
              <w:rPr>
                <w:rFonts w:ascii="Arial" w:hAnsi="Arial" w:cs="Arial"/>
                <w:b/>
                <w:sz w:val="18"/>
                <w:szCs w:val="18"/>
                <w:lang w:val="fr-BE"/>
              </w:rPr>
            </w:pPr>
          </w:p>
          <w:p w:rsidR="00BD53E4" w:rsidRPr="00A91AF9" w:rsidRDefault="00BD53E4" w:rsidP="00776B5E">
            <w:pPr>
              <w:spacing w:before="60" w:after="60" w:line="240" w:lineRule="auto"/>
              <w:jc w:val="center"/>
              <w:rPr>
                <w:rFonts w:ascii="Arial" w:hAnsi="Arial" w:cs="Arial"/>
                <w:b/>
                <w:sz w:val="18"/>
                <w:szCs w:val="18"/>
                <w:lang w:val="fr-BE"/>
              </w:rPr>
            </w:pPr>
            <w:r w:rsidRPr="00A91AF9">
              <w:rPr>
                <w:rFonts w:ascii="Arial" w:hAnsi="Arial" w:cs="Arial"/>
                <w:b/>
                <w:sz w:val="18"/>
                <w:szCs w:val="18"/>
                <w:lang w:val="fr-BE"/>
              </w:rPr>
              <w:t>Commentaires</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534" w:type="dxa"/>
            <w:shd w:val="clear" w:color="auto" w:fill="D9D9D9" w:themeFill="background1" w:themeFillShade="D9"/>
          </w:tcPr>
          <w:p w:rsidR="00BD53E4" w:rsidRPr="00CC6A4F" w:rsidRDefault="000765A3" w:rsidP="000765A3">
            <w:pPr>
              <w:spacing w:before="60" w:after="60" w:line="240" w:lineRule="auto"/>
              <w:jc w:val="center"/>
              <w:rPr>
                <w:rFonts w:ascii="Arial" w:hAnsi="Arial" w:cs="Arial"/>
                <w:b/>
                <w:bCs/>
                <w:sz w:val="18"/>
                <w:szCs w:val="18"/>
                <w:lang w:val="fr-BE"/>
              </w:rPr>
            </w:pPr>
            <w:r w:rsidRPr="00CC6A4F">
              <w:rPr>
                <w:rFonts w:ascii="Arial" w:hAnsi="Arial" w:cs="Arial"/>
                <w:b/>
                <w:bCs/>
                <w:sz w:val="18"/>
                <w:szCs w:val="18"/>
                <w:lang w:val="fr-BE"/>
              </w:rPr>
              <w:t>2</w:t>
            </w:r>
            <w:r w:rsidR="00CC6A4F">
              <w:rPr>
                <w:rFonts w:ascii="Arial" w:hAnsi="Arial" w:cs="Arial"/>
                <w:b/>
                <w:bCs/>
                <w:sz w:val="18"/>
                <w:szCs w:val="18"/>
                <w:lang w:val="fr-BE"/>
              </w:rPr>
              <w:t>.</w:t>
            </w:r>
          </w:p>
        </w:tc>
        <w:tc>
          <w:tcPr>
            <w:tcW w:w="13190" w:type="dxa"/>
            <w:gridSpan w:val="8"/>
            <w:shd w:val="clear" w:color="auto" w:fill="D9D9D9" w:themeFill="background1" w:themeFillShade="D9"/>
          </w:tcPr>
          <w:p w:rsidR="00BD53E4" w:rsidRPr="000214A5" w:rsidRDefault="00BD53E4" w:rsidP="00CD1BE8">
            <w:pPr>
              <w:spacing w:before="60" w:after="60" w:line="240" w:lineRule="auto"/>
              <w:jc w:val="both"/>
              <w:rPr>
                <w:rFonts w:ascii="Arial" w:hAnsi="Arial" w:cs="Arial"/>
                <w:b/>
                <w:bCs/>
                <w:sz w:val="18"/>
                <w:szCs w:val="18"/>
                <w:lang w:val="fr-BE"/>
              </w:rPr>
            </w:pPr>
            <w:r w:rsidRPr="000214A5">
              <w:rPr>
                <w:rFonts w:ascii="Arial" w:hAnsi="Arial" w:cs="Arial"/>
                <w:b/>
                <w:bCs/>
                <w:sz w:val="18"/>
                <w:szCs w:val="18"/>
                <w:lang w:val="fr-BE"/>
              </w:rPr>
              <w:t>Procédures analytiques</w:t>
            </w:r>
          </w:p>
        </w:tc>
      </w:tr>
      <w:tr w:rsidR="00BD53E4" w:rsidRPr="00CC6A4F" w:rsidTr="00CC6A4F">
        <w:trPr>
          <w:trHeight w:val="617"/>
        </w:trPr>
        <w:tc>
          <w:tcPr>
            <w:tcW w:w="534" w:type="dxa"/>
            <w:tcBorders>
              <w:top w:val="single" w:sz="4" w:space="0" w:color="auto"/>
              <w:left w:val="single" w:sz="4" w:space="0" w:color="auto"/>
              <w:bottom w:val="single" w:sz="4" w:space="0" w:color="auto"/>
              <w:right w:val="single" w:sz="4" w:space="0" w:color="auto"/>
            </w:tcBorders>
          </w:tcPr>
          <w:p w:rsidR="00BD53E4" w:rsidRPr="000765A3" w:rsidRDefault="00BD53E4" w:rsidP="00CC6A4F">
            <w:pPr>
              <w:pStyle w:val="ListParagraph"/>
              <w:spacing w:before="60" w:after="60" w:line="240" w:lineRule="auto"/>
              <w:ind w:left="0"/>
              <w:contextualSpacing w:val="0"/>
              <w:rPr>
                <w:rFonts w:ascii="Garamond" w:hAnsi="Garamond" w:cs="Arial"/>
                <w:b/>
                <w:sz w:val="18"/>
                <w:szCs w:val="18"/>
                <w:lang w:val="fr-BE"/>
              </w:rPr>
            </w:pPr>
          </w:p>
        </w:tc>
        <w:tc>
          <w:tcPr>
            <w:tcW w:w="3984" w:type="dxa"/>
            <w:tcBorders>
              <w:top w:val="single" w:sz="4" w:space="0" w:color="auto"/>
              <w:left w:val="single" w:sz="4" w:space="0" w:color="auto"/>
              <w:bottom w:val="single" w:sz="4" w:space="0" w:color="auto"/>
              <w:right w:val="single" w:sz="4" w:space="0" w:color="auto"/>
            </w:tcBorders>
          </w:tcPr>
          <w:p w:rsidR="00BD53E4" w:rsidRPr="000214A5" w:rsidRDefault="00BD53E4" w:rsidP="00CD1BE8">
            <w:pPr>
              <w:pStyle w:val="ListParagraph"/>
              <w:numPr>
                <w:ilvl w:val="1"/>
                <w:numId w:val="26"/>
              </w:numPr>
              <w:spacing w:before="60" w:after="60" w:line="240" w:lineRule="auto"/>
              <w:ind w:left="709" w:hanging="283"/>
              <w:contextualSpacing w:val="0"/>
              <w:jc w:val="both"/>
              <w:rPr>
                <w:rFonts w:ascii="Arial" w:hAnsi="Arial" w:cs="Arial"/>
                <w:sz w:val="18"/>
                <w:szCs w:val="18"/>
                <w:lang w:val="fr-BE"/>
              </w:rPr>
            </w:pPr>
            <w:r>
              <w:rPr>
                <w:rFonts w:ascii="Arial" w:hAnsi="Arial" w:cs="Arial"/>
                <w:sz w:val="18"/>
                <w:szCs w:val="18"/>
                <w:lang w:val="fr-BE"/>
              </w:rPr>
              <w:t>l</w:t>
            </w:r>
            <w:r w:rsidRPr="000214A5">
              <w:rPr>
                <w:rFonts w:ascii="Arial" w:hAnsi="Arial" w:cs="Arial"/>
                <w:sz w:val="18"/>
                <w:szCs w:val="18"/>
                <w:lang w:val="fr-BE"/>
              </w:rPr>
              <w:t>e nombre de jours de crédits fournis</w:t>
            </w:r>
            <w:r>
              <w:rPr>
                <w:rFonts w:ascii="Arial" w:hAnsi="Arial" w:cs="Arial"/>
                <w:sz w:val="18"/>
                <w:szCs w:val="18"/>
                <w:lang w:val="fr-BE"/>
              </w:rPr>
              <w:t>seurs et de rotation des stocks ;</w:t>
            </w:r>
          </w:p>
        </w:tc>
        <w:tc>
          <w:tcPr>
            <w:tcW w:w="56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1"/>
                <w:numId w:val="26"/>
              </w:numPr>
              <w:spacing w:before="60" w:after="60" w:line="240" w:lineRule="auto"/>
              <w:ind w:left="709" w:hanging="283"/>
              <w:contextualSpacing w:val="0"/>
              <w:jc w:val="both"/>
              <w:rPr>
                <w:rFonts w:ascii="Arial" w:hAnsi="Arial" w:cs="Arial"/>
                <w:sz w:val="18"/>
                <w:szCs w:val="18"/>
                <w:lang w:val="fr-BE"/>
              </w:rPr>
            </w:pPr>
            <w:r>
              <w:rPr>
                <w:rFonts w:ascii="Arial" w:hAnsi="Arial" w:cs="Arial"/>
                <w:sz w:val="18"/>
                <w:szCs w:val="18"/>
                <w:lang w:val="fr-BE"/>
              </w:rPr>
              <w:t>r</w:t>
            </w:r>
            <w:r w:rsidRPr="000214A5">
              <w:rPr>
                <w:rFonts w:ascii="Arial" w:hAnsi="Arial" w:cs="Arial"/>
                <w:sz w:val="18"/>
                <w:szCs w:val="18"/>
                <w:lang w:val="fr-BE"/>
              </w:rPr>
              <w:t>atios de liquidités (actifs-inventaire</w:t>
            </w:r>
            <w:r>
              <w:rPr>
                <w:rFonts w:ascii="Arial" w:hAnsi="Arial" w:cs="Arial"/>
                <w:sz w:val="18"/>
                <w:szCs w:val="18"/>
                <w:lang w:val="fr-BE"/>
              </w:rPr>
              <w:t xml:space="preserve"> </w:t>
            </w:r>
            <w:r w:rsidRPr="000214A5">
              <w:rPr>
                <w:rFonts w:ascii="Arial" w:hAnsi="Arial" w:cs="Arial"/>
                <w:sz w:val="18"/>
                <w:szCs w:val="18"/>
                <w:lang w:val="fr-BE"/>
              </w:rPr>
              <w:t>/ passif à court terme)</w:t>
            </w:r>
            <w:r>
              <w:rPr>
                <w:rFonts w:ascii="Arial" w:hAnsi="Arial" w:cs="Arial"/>
                <w:sz w:val="18"/>
                <w:szCs w:val="18"/>
                <w:lang w:val="fr-BE"/>
              </w:rPr>
              <w:t> ; et</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BD53E4" w:rsidRPr="000765A3" w:rsidRDefault="00BD53E4" w:rsidP="00CC6A4F">
            <w:pPr>
              <w:pStyle w:val="ListParagraph"/>
              <w:spacing w:before="60" w:after="60" w:line="240" w:lineRule="auto"/>
              <w:ind w:left="0"/>
              <w:contextualSpacing w:val="0"/>
              <w:rPr>
                <w:rFonts w:ascii="Garamond" w:hAnsi="Garamond" w:cs="Arial"/>
                <w:b/>
                <w:i/>
                <w:sz w:val="18"/>
                <w:szCs w:val="18"/>
                <w:lang w:val="fr-BE"/>
              </w:rPr>
            </w:pPr>
          </w:p>
        </w:tc>
        <w:tc>
          <w:tcPr>
            <w:tcW w:w="3984" w:type="dxa"/>
          </w:tcPr>
          <w:p w:rsidR="00BD53E4" w:rsidRPr="000214A5" w:rsidRDefault="00BD53E4" w:rsidP="00CD1BE8">
            <w:pPr>
              <w:pStyle w:val="ListParagraph"/>
              <w:numPr>
                <w:ilvl w:val="1"/>
                <w:numId w:val="26"/>
              </w:numPr>
              <w:spacing w:before="60" w:after="60" w:line="240" w:lineRule="auto"/>
              <w:ind w:left="709" w:hanging="283"/>
              <w:contextualSpacing w:val="0"/>
              <w:jc w:val="both"/>
              <w:rPr>
                <w:rFonts w:ascii="Arial" w:hAnsi="Arial" w:cs="Arial"/>
                <w:sz w:val="18"/>
                <w:szCs w:val="18"/>
                <w:lang w:val="fr-BE"/>
              </w:rPr>
            </w:pPr>
            <w:proofErr w:type="spellStart"/>
            <w:r w:rsidRPr="00976D4C">
              <w:rPr>
                <w:rFonts w:ascii="Arial" w:hAnsi="Arial" w:cs="Arial"/>
                <w:i/>
                <w:sz w:val="18"/>
                <w:szCs w:val="18"/>
                <w:lang w:val="fr-BE"/>
              </w:rPr>
              <w:t>current</w:t>
            </w:r>
            <w:proofErr w:type="spellEnd"/>
            <w:r w:rsidRPr="00976D4C">
              <w:rPr>
                <w:rFonts w:ascii="Arial" w:hAnsi="Arial" w:cs="Arial"/>
                <w:i/>
                <w:sz w:val="18"/>
                <w:szCs w:val="18"/>
                <w:lang w:val="fr-BE"/>
              </w:rPr>
              <w:t xml:space="preserve"> ratio</w:t>
            </w:r>
            <w:r w:rsidRPr="000214A5">
              <w:rPr>
                <w:rFonts w:ascii="Arial" w:hAnsi="Arial" w:cs="Arial"/>
                <w:sz w:val="18"/>
                <w:szCs w:val="18"/>
                <w:lang w:val="fr-BE"/>
              </w:rPr>
              <w:t xml:space="preserve"> (actifs d'exploitation / passif d'exploitation)</w:t>
            </w:r>
            <w:r>
              <w:rPr>
                <w:rFonts w:ascii="Arial" w:hAnsi="Arial" w:cs="Arial"/>
                <w:sz w:val="18"/>
                <w:szCs w:val="18"/>
                <w:lang w:val="fr-BE"/>
              </w:rPr>
              <w:t>.</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34" w:type="dxa"/>
            <w:shd w:val="clear" w:color="auto" w:fill="D9D9D9" w:themeFill="background1" w:themeFillShade="D9"/>
          </w:tcPr>
          <w:p w:rsidR="00BD53E4" w:rsidRPr="00CC6A4F" w:rsidRDefault="000765A3" w:rsidP="000765A3">
            <w:pPr>
              <w:spacing w:before="60" w:after="60" w:line="240" w:lineRule="auto"/>
              <w:jc w:val="center"/>
              <w:rPr>
                <w:rFonts w:ascii="Arial" w:hAnsi="Arial" w:cs="Arial"/>
                <w:b/>
                <w:sz w:val="18"/>
                <w:szCs w:val="18"/>
                <w:lang w:val="fr-BE"/>
              </w:rPr>
            </w:pPr>
            <w:r w:rsidRPr="00CC6A4F">
              <w:rPr>
                <w:rFonts w:ascii="Arial" w:hAnsi="Arial" w:cs="Arial"/>
                <w:b/>
                <w:sz w:val="18"/>
                <w:szCs w:val="18"/>
                <w:lang w:val="fr-BE"/>
              </w:rPr>
              <w:t>3</w:t>
            </w:r>
            <w:r w:rsidR="00CC6A4F">
              <w:rPr>
                <w:rFonts w:ascii="Arial" w:hAnsi="Arial" w:cs="Arial"/>
                <w:b/>
                <w:sz w:val="18"/>
                <w:szCs w:val="18"/>
                <w:lang w:val="fr-BE"/>
              </w:rPr>
              <w:t>.</w:t>
            </w:r>
          </w:p>
        </w:tc>
        <w:tc>
          <w:tcPr>
            <w:tcW w:w="13190" w:type="dxa"/>
            <w:gridSpan w:val="8"/>
            <w:shd w:val="clear" w:color="auto" w:fill="D9D9D9" w:themeFill="background1" w:themeFillShade="D9"/>
          </w:tcPr>
          <w:p w:rsidR="00BD53E4" w:rsidRPr="000214A5" w:rsidRDefault="00BD53E4" w:rsidP="000214A5">
            <w:pPr>
              <w:spacing w:before="60" w:after="60" w:line="240" w:lineRule="auto"/>
              <w:jc w:val="both"/>
              <w:rPr>
                <w:rFonts w:ascii="Arial" w:hAnsi="Arial" w:cs="Arial"/>
                <w:b/>
                <w:sz w:val="18"/>
                <w:szCs w:val="18"/>
                <w:lang w:val="fr-BE"/>
              </w:rPr>
            </w:pPr>
            <w:r w:rsidRPr="000214A5">
              <w:rPr>
                <w:rFonts w:ascii="Arial" w:hAnsi="Arial" w:cs="Arial"/>
                <w:b/>
                <w:sz w:val="18"/>
                <w:szCs w:val="18"/>
                <w:lang w:val="fr-BE"/>
              </w:rPr>
              <w:t xml:space="preserve">Politique de </w:t>
            </w:r>
            <w:proofErr w:type="spellStart"/>
            <w:r w:rsidRPr="00976D4C">
              <w:rPr>
                <w:rFonts w:ascii="Arial" w:hAnsi="Arial" w:cs="Arial"/>
                <w:b/>
                <w:i/>
                <w:sz w:val="18"/>
                <w:szCs w:val="18"/>
                <w:lang w:val="fr-BE"/>
              </w:rPr>
              <w:t>reporting</w:t>
            </w:r>
            <w:proofErr w:type="spellEnd"/>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534" w:type="dxa"/>
          </w:tcPr>
          <w:p w:rsidR="00BD53E4" w:rsidRPr="000765A3" w:rsidRDefault="00BD53E4" w:rsidP="000765A3">
            <w:pPr>
              <w:spacing w:before="60" w:after="60" w:line="240" w:lineRule="auto"/>
              <w:jc w:val="center"/>
              <w:rPr>
                <w:rFonts w:ascii="Garamond" w:hAnsi="Garamond" w:cs="Arial"/>
                <w:b/>
                <w:sz w:val="18"/>
                <w:szCs w:val="18"/>
                <w:lang w:val="fr-BE"/>
              </w:rPr>
            </w:pPr>
          </w:p>
        </w:tc>
        <w:tc>
          <w:tcPr>
            <w:tcW w:w="3984" w:type="dxa"/>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xml:space="preserve">Documenter tout changement important intervenu dans les politiques comptables, de </w:t>
            </w:r>
            <w:proofErr w:type="spellStart"/>
            <w:r w:rsidRPr="00976D4C">
              <w:rPr>
                <w:rFonts w:ascii="Arial" w:hAnsi="Arial" w:cs="Arial"/>
                <w:i/>
                <w:sz w:val="18"/>
                <w:szCs w:val="18"/>
                <w:lang w:val="fr-BE"/>
              </w:rPr>
              <w:t>reporting</w:t>
            </w:r>
            <w:proofErr w:type="spellEnd"/>
            <w:r w:rsidRPr="000214A5">
              <w:rPr>
                <w:rFonts w:ascii="Arial" w:hAnsi="Arial" w:cs="Arial"/>
                <w:sz w:val="18"/>
                <w:szCs w:val="18"/>
                <w:lang w:val="fr-BE"/>
              </w:rPr>
              <w:t xml:space="preserve"> y compris dans leur mise en application par rapport aux exercices précédents.</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34" w:type="dxa"/>
            <w:shd w:val="clear" w:color="auto" w:fill="D9D9D9" w:themeFill="background1" w:themeFillShade="D9"/>
          </w:tcPr>
          <w:p w:rsidR="00BD53E4" w:rsidRPr="00CC6A4F" w:rsidRDefault="000765A3" w:rsidP="000765A3">
            <w:pPr>
              <w:spacing w:before="60" w:after="60" w:line="240" w:lineRule="auto"/>
              <w:jc w:val="center"/>
              <w:rPr>
                <w:rFonts w:ascii="Arial" w:hAnsi="Arial" w:cs="Arial"/>
                <w:b/>
                <w:sz w:val="18"/>
                <w:szCs w:val="18"/>
                <w:lang w:val="fr-BE"/>
              </w:rPr>
            </w:pPr>
            <w:r w:rsidRPr="00CC6A4F">
              <w:rPr>
                <w:rFonts w:ascii="Arial" w:hAnsi="Arial" w:cs="Arial"/>
                <w:b/>
                <w:sz w:val="18"/>
                <w:szCs w:val="18"/>
                <w:lang w:val="fr-BE"/>
              </w:rPr>
              <w:t>4</w:t>
            </w:r>
            <w:r w:rsidR="00CC6A4F">
              <w:rPr>
                <w:rFonts w:ascii="Arial" w:hAnsi="Arial" w:cs="Arial"/>
                <w:b/>
                <w:sz w:val="18"/>
                <w:szCs w:val="18"/>
                <w:lang w:val="fr-BE"/>
              </w:rPr>
              <w:t>.</w:t>
            </w:r>
          </w:p>
        </w:tc>
        <w:tc>
          <w:tcPr>
            <w:tcW w:w="13190" w:type="dxa"/>
            <w:gridSpan w:val="8"/>
            <w:shd w:val="clear" w:color="auto" w:fill="D9D9D9" w:themeFill="background1" w:themeFillShade="D9"/>
          </w:tcPr>
          <w:p w:rsidR="00BD53E4" w:rsidRPr="000214A5" w:rsidRDefault="00BD53E4" w:rsidP="000214A5">
            <w:pPr>
              <w:spacing w:before="60" w:after="60" w:line="240" w:lineRule="auto"/>
              <w:jc w:val="both"/>
              <w:rPr>
                <w:rFonts w:ascii="Arial" w:hAnsi="Arial" w:cs="Arial"/>
                <w:b/>
                <w:sz w:val="18"/>
                <w:szCs w:val="18"/>
                <w:lang w:val="fr-BE"/>
              </w:rPr>
            </w:pPr>
            <w:r w:rsidRPr="000214A5">
              <w:rPr>
                <w:rFonts w:ascii="Arial" w:hAnsi="Arial" w:cs="Arial"/>
                <w:b/>
                <w:sz w:val="18"/>
                <w:szCs w:val="18"/>
                <w:lang w:val="fr-BE"/>
              </w:rPr>
              <w:t>Transactions non-monétaires</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534" w:type="dxa"/>
          </w:tcPr>
          <w:p w:rsidR="00BD53E4" w:rsidRPr="000765A3" w:rsidRDefault="00BD53E4" w:rsidP="000765A3">
            <w:pPr>
              <w:spacing w:before="60" w:after="60" w:line="240" w:lineRule="auto"/>
              <w:jc w:val="center"/>
              <w:rPr>
                <w:rFonts w:ascii="Garamond" w:hAnsi="Garamond" w:cs="Arial"/>
                <w:b/>
                <w:bCs/>
                <w:sz w:val="18"/>
                <w:szCs w:val="18"/>
                <w:lang w:val="fr-BE"/>
              </w:rPr>
            </w:pPr>
          </w:p>
        </w:tc>
        <w:tc>
          <w:tcPr>
            <w:tcW w:w="3984" w:type="dxa"/>
          </w:tcPr>
          <w:p w:rsidR="00BD53E4" w:rsidRPr="000214A5" w:rsidRDefault="00BD53E4" w:rsidP="00BE1A35">
            <w:pPr>
              <w:spacing w:before="60" w:after="60" w:line="240" w:lineRule="auto"/>
              <w:jc w:val="both"/>
              <w:rPr>
                <w:rFonts w:ascii="Arial" w:hAnsi="Arial" w:cs="Arial"/>
                <w:bCs/>
                <w:sz w:val="18"/>
                <w:szCs w:val="18"/>
                <w:lang w:val="fr-BE"/>
              </w:rPr>
            </w:pPr>
            <w:r w:rsidRPr="000214A5">
              <w:rPr>
                <w:rFonts w:ascii="Arial" w:hAnsi="Arial" w:cs="Arial"/>
                <w:bCs/>
                <w:sz w:val="18"/>
                <w:szCs w:val="18"/>
                <w:lang w:val="fr-BE"/>
              </w:rPr>
              <w:t xml:space="preserve">Se renseigner auprès de la direction et examiner la documentation concernant l'existence de transactions non-monétaires et évaluer l'impact sur les </w:t>
            </w:r>
            <w:r>
              <w:rPr>
                <w:rFonts w:ascii="Arial" w:hAnsi="Arial" w:cs="Arial"/>
                <w:bCs/>
                <w:sz w:val="18"/>
                <w:szCs w:val="18"/>
                <w:lang w:val="fr-BE"/>
              </w:rPr>
              <w:t>comptes annuels.</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34" w:type="dxa"/>
            <w:shd w:val="clear" w:color="auto" w:fill="D9D9D9" w:themeFill="background1" w:themeFillShade="D9"/>
          </w:tcPr>
          <w:p w:rsidR="00BD53E4" w:rsidRPr="00CC6A4F" w:rsidRDefault="000765A3" w:rsidP="000765A3">
            <w:pPr>
              <w:spacing w:before="60" w:after="60" w:line="240" w:lineRule="auto"/>
              <w:jc w:val="center"/>
              <w:rPr>
                <w:rFonts w:ascii="Arial" w:hAnsi="Arial" w:cs="Arial"/>
                <w:b/>
                <w:sz w:val="18"/>
                <w:szCs w:val="18"/>
                <w:lang w:val="fr-BE"/>
              </w:rPr>
            </w:pPr>
            <w:r w:rsidRPr="00CC6A4F">
              <w:rPr>
                <w:rFonts w:ascii="Arial" w:hAnsi="Arial" w:cs="Arial"/>
                <w:b/>
                <w:sz w:val="18"/>
                <w:szCs w:val="18"/>
                <w:lang w:val="fr-BE"/>
              </w:rPr>
              <w:t>5</w:t>
            </w:r>
            <w:r w:rsidR="00CC6A4F">
              <w:rPr>
                <w:rFonts w:ascii="Arial" w:hAnsi="Arial" w:cs="Arial"/>
                <w:b/>
                <w:sz w:val="18"/>
                <w:szCs w:val="18"/>
                <w:lang w:val="fr-BE"/>
              </w:rPr>
              <w:t>.</w:t>
            </w:r>
          </w:p>
        </w:tc>
        <w:tc>
          <w:tcPr>
            <w:tcW w:w="13190" w:type="dxa"/>
            <w:gridSpan w:val="8"/>
            <w:shd w:val="clear" w:color="auto" w:fill="D9D9D9" w:themeFill="background1" w:themeFillShade="D9"/>
          </w:tcPr>
          <w:p w:rsidR="00BD53E4" w:rsidRPr="00924E2B" w:rsidRDefault="00BD53E4" w:rsidP="000214A5">
            <w:pPr>
              <w:spacing w:before="60" w:after="60" w:line="240" w:lineRule="auto"/>
              <w:jc w:val="both"/>
              <w:rPr>
                <w:rFonts w:ascii="Arial" w:hAnsi="Arial" w:cs="Arial"/>
                <w:b/>
                <w:sz w:val="18"/>
                <w:szCs w:val="18"/>
                <w:lang w:val="fr-BE"/>
              </w:rPr>
            </w:pPr>
            <w:r w:rsidRPr="00924E2B">
              <w:rPr>
                <w:rFonts w:ascii="Arial" w:hAnsi="Arial" w:cs="Arial"/>
                <w:b/>
                <w:sz w:val="18"/>
                <w:szCs w:val="18"/>
                <w:lang w:val="fr-BE"/>
              </w:rPr>
              <w:t>Transactions non enregistrées</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534" w:type="dxa"/>
          </w:tcPr>
          <w:p w:rsidR="00BD53E4" w:rsidRPr="000765A3" w:rsidRDefault="00BD53E4" w:rsidP="000765A3">
            <w:pPr>
              <w:spacing w:before="60" w:after="60" w:line="240" w:lineRule="auto"/>
              <w:jc w:val="center"/>
              <w:rPr>
                <w:rFonts w:ascii="Garamond" w:hAnsi="Garamond" w:cs="Arial"/>
                <w:b/>
                <w:sz w:val="18"/>
                <w:szCs w:val="18"/>
                <w:lang w:val="fr-BE"/>
              </w:rPr>
            </w:pPr>
          </w:p>
        </w:tc>
        <w:tc>
          <w:tcPr>
            <w:tcW w:w="3984" w:type="dxa"/>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Demander au personnel responsable ou famili</w:t>
            </w:r>
            <w:r>
              <w:rPr>
                <w:rFonts w:ascii="Arial" w:hAnsi="Arial" w:cs="Arial"/>
                <w:sz w:val="18"/>
                <w:szCs w:val="18"/>
                <w:lang w:val="fr-BE"/>
              </w:rPr>
              <w:t>arisé</w:t>
            </w:r>
            <w:r w:rsidRPr="000214A5">
              <w:rPr>
                <w:rFonts w:ascii="Arial" w:hAnsi="Arial" w:cs="Arial"/>
                <w:sz w:val="18"/>
                <w:szCs w:val="18"/>
                <w:lang w:val="fr-BE"/>
              </w:rPr>
              <w:t xml:space="preserve"> avec les coûts des ventes, des achats et des stocks s'ils sont au courant :</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Borders>
              <w:bottom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bottom w:val="single" w:sz="4" w:space="0" w:color="auto"/>
            </w:tcBorders>
          </w:tcPr>
          <w:p w:rsidR="00BD53E4" w:rsidRPr="000214A5" w:rsidRDefault="00BD53E4" w:rsidP="00CD1BE8">
            <w:pPr>
              <w:pStyle w:val="ListParagraph"/>
              <w:numPr>
                <w:ilvl w:val="0"/>
                <w:numId w:val="28"/>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d'achats non enregistrés, m</w:t>
            </w:r>
            <w:r>
              <w:rPr>
                <w:rFonts w:ascii="Arial" w:hAnsi="Arial" w:cs="Arial"/>
                <w:sz w:val="18"/>
                <w:szCs w:val="18"/>
                <w:lang w:val="fr-BE"/>
              </w:rPr>
              <w:t>anquant ou de stocks surévalués ;</w:t>
            </w:r>
          </w:p>
        </w:tc>
        <w:tc>
          <w:tcPr>
            <w:tcW w:w="569"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rPr>
          <w:trHeight w:val="504"/>
        </w:trPr>
        <w:tc>
          <w:tcPr>
            <w:tcW w:w="534" w:type="dxa"/>
            <w:tcBorders>
              <w:top w:val="single" w:sz="4" w:space="0" w:color="auto"/>
              <w:left w:val="single" w:sz="4" w:space="0" w:color="auto"/>
              <w:bottom w:val="single" w:sz="4" w:space="0" w:color="auto"/>
              <w:right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top w:val="single" w:sz="4" w:space="0" w:color="auto"/>
              <w:left w:val="single" w:sz="4" w:space="0" w:color="auto"/>
              <w:bottom w:val="single" w:sz="4" w:space="0" w:color="auto"/>
              <w:right w:val="single" w:sz="4" w:space="0" w:color="auto"/>
            </w:tcBorders>
          </w:tcPr>
          <w:p w:rsidR="00BD53E4" w:rsidRPr="000214A5" w:rsidRDefault="00BD53E4" w:rsidP="00CD1BE8">
            <w:pPr>
              <w:pStyle w:val="ListParagraph"/>
              <w:numPr>
                <w:ilvl w:val="0"/>
                <w:numId w:val="28"/>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de transactions non enregistrées ou avec de</w:t>
            </w:r>
            <w:r>
              <w:rPr>
                <w:rFonts w:ascii="Arial" w:hAnsi="Arial" w:cs="Arial"/>
                <w:sz w:val="18"/>
                <w:szCs w:val="18"/>
                <w:lang w:val="fr-BE"/>
              </w:rPr>
              <w:t>s termes/conditions inhabituels ; et</w:t>
            </w:r>
          </w:p>
        </w:tc>
        <w:tc>
          <w:tcPr>
            <w:tcW w:w="56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rPr>
          <w:trHeight w:val="297"/>
        </w:trPr>
        <w:tc>
          <w:tcPr>
            <w:tcW w:w="534" w:type="dxa"/>
            <w:tcBorders>
              <w:top w:val="single" w:sz="4" w:space="0" w:color="auto"/>
              <w:left w:val="single" w:sz="4" w:space="0" w:color="auto"/>
              <w:bottom w:val="single" w:sz="4" w:space="0" w:color="auto"/>
              <w:right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top w:val="single" w:sz="4" w:space="0" w:color="auto"/>
              <w:left w:val="single" w:sz="4" w:space="0" w:color="auto"/>
              <w:bottom w:val="single" w:sz="4" w:space="0" w:color="auto"/>
              <w:right w:val="single" w:sz="4" w:space="0" w:color="auto"/>
            </w:tcBorders>
          </w:tcPr>
          <w:p w:rsidR="00BD53E4" w:rsidRPr="000214A5" w:rsidRDefault="00BD53E4" w:rsidP="00CD1BE8">
            <w:pPr>
              <w:pStyle w:val="ListParagraph"/>
              <w:numPr>
                <w:ilvl w:val="0"/>
                <w:numId w:val="28"/>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 xml:space="preserve">de </w:t>
            </w:r>
            <w:r w:rsidRPr="000214A5">
              <w:rPr>
                <w:rFonts w:ascii="Arial" w:hAnsi="Arial" w:cs="Arial"/>
                <w:sz w:val="18"/>
                <w:szCs w:val="18"/>
                <w:lang w:val="fr-BE"/>
              </w:rPr>
              <w:t>tous termes ou transactions inhabituels.</w:t>
            </w:r>
          </w:p>
        </w:tc>
        <w:tc>
          <w:tcPr>
            <w:tcW w:w="56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A91AF9" w:rsidTr="00CC6A4F">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BD53E4" w:rsidRPr="000765A3" w:rsidRDefault="00BD53E4" w:rsidP="000765A3">
            <w:pPr>
              <w:spacing w:before="60" w:after="60" w:line="240" w:lineRule="auto"/>
              <w:jc w:val="center"/>
              <w:rPr>
                <w:rFonts w:ascii="Garamond" w:hAnsi="Garamond" w:cs="Arial"/>
                <w:b/>
                <w:bCs/>
                <w:sz w:val="18"/>
                <w:szCs w:val="18"/>
                <w:lang w:val="fr-BE"/>
              </w:rPr>
            </w:pPr>
          </w:p>
        </w:tc>
        <w:tc>
          <w:tcPr>
            <w:tcW w:w="3984"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776B5E">
            <w:pPr>
              <w:spacing w:before="60" w:after="60" w:line="240" w:lineRule="auto"/>
              <w:jc w:val="center"/>
              <w:rPr>
                <w:rFonts w:ascii="Arial" w:hAnsi="Arial" w:cs="Arial"/>
                <w:b/>
                <w:bCs/>
                <w:sz w:val="18"/>
                <w:szCs w:val="18"/>
                <w:lang w:val="fr-BE"/>
              </w:rPr>
            </w:pPr>
          </w:p>
          <w:p w:rsidR="00BD53E4" w:rsidRPr="00A91AF9" w:rsidRDefault="00BD53E4" w:rsidP="00776B5E">
            <w:pPr>
              <w:spacing w:before="60" w:after="60" w:line="240" w:lineRule="auto"/>
              <w:jc w:val="center"/>
              <w:rPr>
                <w:rFonts w:ascii="Arial" w:hAnsi="Arial" w:cs="Arial"/>
                <w:b/>
                <w:bCs/>
                <w:sz w:val="18"/>
                <w:szCs w:val="18"/>
                <w:lang w:val="fr-BE"/>
              </w:rPr>
            </w:pPr>
          </w:p>
          <w:p w:rsidR="00BD53E4" w:rsidRPr="00A91AF9" w:rsidRDefault="00BD53E4" w:rsidP="00776B5E">
            <w:pPr>
              <w:spacing w:before="60" w:after="60" w:line="240" w:lineRule="auto"/>
              <w:jc w:val="center"/>
              <w:rPr>
                <w:rFonts w:ascii="Arial" w:hAnsi="Arial" w:cs="Arial"/>
                <w:b/>
                <w:bCs/>
                <w:sz w:val="18"/>
                <w:szCs w:val="18"/>
                <w:lang w:val="fr-BE"/>
              </w:rPr>
            </w:pPr>
            <w:r w:rsidRPr="00A91AF9">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A91AF9">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A91AF9">
              <w:rPr>
                <w:rFonts w:ascii="Arial" w:hAnsi="Arial" w:cs="Arial"/>
                <w:b/>
                <w:sz w:val="18"/>
                <w:szCs w:val="18"/>
                <w:lang w:val="fr-BE"/>
              </w:rPr>
              <w:t>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A91AF9">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A91AF9">
              <w:rPr>
                <w:rFonts w:ascii="Arial" w:hAnsi="Arial" w:cs="Arial"/>
                <w:b/>
                <w:sz w:val="18"/>
                <w:szCs w:val="18"/>
                <w:lang w:val="fr-BE"/>
              </w:rPr>
              <w:t>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776B5E">
            <w:pPr>
              <w:spacing w:before="60" w:after="60" w:line="240" w:lineRule="auto"/>
              <w:jc w:val="center"/>
              <w:rPr>
                <w:rFonts w:ascii="Arial" w:hAnsi="Arial" w:cs="Arial"/>
                <w:b/>
                <w:sz w:val="18"/>
                <w:szCs w:val="18"/>
                <w:lang w:val="fr-BE"/>
              </w:rPr>
            </w:pPr>
          </w:p>
          <w:p w:rsidR="00BD53E4" w:rsidRPr="00A91AF9" w:rsidRDefault="00BD53E4" w:rsidP="00776B5E">
            <w:pPr>
              <w:spacing w:before="60" w:after="60" w:line="240" w:lineRule="auto"/>
              <w:jc w:val="center"/>
              <w:rPr>
                <w:rFonts w:ascii="Arial" w:hAnsi="Arial" w:cs="Arial"/>
                <w:b/>
                <w:sz w:val="18"/>
                <w:szCs w:val="18"/>
                <w:lang w:val="fr-BE"/>
              </w:rPr>
            </w:pPr>
          </w:p>
          <w:p w:rsidR="00BD53E4" w:rsidRPr="00A91AF9" w:rsidRDefault="00BD53E4" w:rsidP="00776B5E">
            <w:pPr>
              <w:spacing w:before="60" w:after="60" w:line="240" w:lineRule="auto"/>
              <w:jc w:val="center"/>
              <w:rPr>
                <w:rFonts w:ascii="Arial" w:hAnsi="Arial" w:cs="Arial"/>
                <w:b/>
                <w:sz w:val="18"/>
                <w:szCs w:val="18"/>
                <w:lang w:val="fr-BE"/>
              </w:rPr>
            </w:pPr>
            <w:r w:rsidRPr="00A91AF9">
              <w:rPr>
                <w:rFonts w:ascii="Arial" w:hAnsi="Arial" w:cs="Arial"/>
                <w:b/>
                <w:sz w:val="18"/>
                <w:szCs w:val="18"/>
                <w:lang w:val="fr-BE"/>
              </w:rPr>
              <w:t>Commentaires</w:t>
            </w:r>
          </w:p>
        </w:tc>
      </w:tr>
      <w:tr w:rsidR="00BD53E4" w:rsidRPr="00F5457B" w:rsidTr="00CC6A4F">
        <w:trPr>
          <w:trHeight w:val="321"/>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3E4" w:rsidRPr="00CC6A4F" w:rsidRDefault="000765A3" w:rsidP="000765A3">
            <w:pPr>
              <w:spacing w:before="60" w:after="60" w:line="240" w:lineRule="auto"/>
              <w:jc w:val="center"/>
              <w:rPr>
                <w:rFonts w:ascii="Arial" w:hAnsi="Arial" w:cs="Arial"/>
                <w:b/>
                <w:sz w:val="18"/>
                <w:szCs w:val="18"/>
                <w:lang w:val="fr-BE"/>
              </w:rPr>
            </w:pPr>
            <w:r w:rsidRPr="00CC6A4F">
              <w:rPr>
                <w:rFonts w:ascii="Arial" w:hAnsi="Arial" w:cs="Arial"/>
                <w:b/>
                <w:sz w:val="18"/>
                <w:szCs w:val="18"/>
                <w:lang w:val="fr-BE"/>
              </w:rPr>
              <w:t>6</w:t>
            </w:r>
            <w:r w:rsidR="00CC6A4F">
              <w:rPr>
                <w:rFonts w:ascii="Arial" w:hAnsi="Arial" w:cs="Arial"/>
                <w:b/>
                <w:sz w:val="18"/>
                <w:szCs w:val="18"/>
                <w:lang w:val="fr-BE"/>
              </w:rPr>
              <w:t>.</w:t>
            </w:r>
          </w:p>
        </w:tc>
        <w:tc>
          <w:tcPr>
            <w:tcW w:w="131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3E4" w:rsidRPr="000214A5" w:rsidRDefault="00BD53E4" w:rsidP="000214A5">
            <w:pPr>
              <w:spacing w:before="60" w:after="60" w:line="240" w:lineRule="auto"/>
              <w:jc w:val="both"/>
              <w:rPr>
                <w:rFonts w:ascii="Arial" w:hAnsi="Arial" w:cs="Arial"/>
                <w:b/>
                <w:sz w:val="18"/>
                <w:szCs w:val="18"/>
                <w:lang w:val="fr-BE"/>
              </w:rPr>
            </w:pPr>
            <w:r w:rsidRPr="000214A5">
              <w:rPr>
                <w:rFonts w:ascii="Arial" w:hAnsi="Arial" w:cs="Arial"/>
                <w:b/>
                <w:sz w:val="18"/>
                <w:szCs w:val="18"/>
                <w:lang w:val="fr-BE"/>
              </w:rPr>
              <w:t>Journal d'achats</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34" w:type="dxa"/>
            <w:tcBorders>
              <w:top w:val="single" w:sz="4" w:space="0" w:color="auto"/>
            </w:tcBorders>
          </w:tcPr>
          <w:p w:rsidR="00BD53E4" w:rsidRPr="000765A3" w:rsidRDefault="00BD53E4" w:rsidP="000765A3">
            <w:pPr>
              <w:spacing w:before="60" w:after="60" w:line="240" w:lineRule="auto"/>
              <w:jc w:val="center"/>
              <w:rPr>
                <w:rFonts w:ascii="Garamond" w:hAnsi="Garamond" w:cs="Arial"/>
                <w:b/>
                <w:sz w:val="18"/>
                <w:szCs w:val="18"/>
                <w:lang w:val="fr-BE"/>
              </w:rPr>
            </w:pPr>
          </w:p>
        </w:tc>
        <w:tc>
          <w:tcPr>
            <w:tcW w:w="3984" w:type="dxa"/>
            <w:tcBorders>
              <w:top w:val="single" w:sz="4" w:space="0" w:color="auto"/>
            </w:tcBorders>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Passer en revue le journal des achats</w:t>
            </w:r>
            <w:r>
              <w:rPr>
                <w:rFonts w:ascii="Arial" w:hAnsi="Arial" w:cs="Arial"/>
                <w:sz w:val="18"/>
                <w:szCs w:val="18"/>
                <w:lang w:val="fr-BE"/>
              </w:rPr>
              <w:t xml:space="preserve"> sur une période déterminée</w:t>
            </w:r>
            <w:r w:rsidRPr="000214A5">
              <w:rPr>
                <w:rFonts w:ascii="Arial" w:hAnsi="Arial" w:cs="Arial"/>
                <w:sz w:val="18"/>
                <w:szCs w:val="18"/>
                <w:lang w:val="fr-BE"/>
              </w:rPr>
              <w:t xml:space="preserve"> de l'exercice pour détecter les éléments importants et inhabituels et s'assurer que ces éléments sont corrects.</w:t>
            </w:r>
          </w:p>
        </w:tc>
        <w:tc>
          <w:tcPr>
            <w:tcW w:w="569"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34" w:type="dxa"/>
            <w:shd w:val="clear" w:color="auto" w:fill="D9D9D9" w:themeFill="background1" w:themeFillShade="D9"/>
          </w:tcPr>
          <w:p w:rsidR="00BD53E4" w:rsidRPr="00CC6A4F" w:rsidRDefault="000765A3" w:rsidP="000765A3">
            <w:pPr>
              <w:spacing w:before="60" w:after="60" w:line="240" w:lineRule="auto"/>
              <w:jc w:val="center"/>
              <w:rPr>
                <w:rFonts w:ascii="Arial" w:hAnsi="Arial" w:cs="Arial"/>
                <w:b/>
                <w:sz w:val="18"/>
                <w:szCs w:val="18"/>
                <w:lang w:val="fr-BE"/>
              </w:rPr>
            </w:pPr>
            <w:r w:rsidRPr="00CC6A4F">
              <w:rPr>
                <w:rFonts w:ascii="Arial" w:hAnsi="Arial" w:cs="Arial"/>
                <w:b/>
                <w:sz w:val="18"/>
                <w:szCs w:val="18"/>
                <w:lang w:val="fr-BE"/>
              </w:rPr>
              <w:t>7</w:t>
            </w:r>
            <w:r w:rsidR="00CC6A4F">
              <w:rPr>
                <w:rFonts w:ascii="Arial" w:hAnsi="Arial" w:cs="Arial"/>
                <w:b/>
                <w:sz w:val="18"/>
                <w:szCs w:val="18"/>
                <w:lang w:val="fr-BE"/>
              </w:rPr>
              <w:t>.</w:t>
            </w:r>
          </w:p>
        </w:tc>
        <w:tc>
          <w:tcPr>
            <w:tcW w:w="13190" w:type="dxa"/>
            <w:gridSpan w:val="8"/>
            <w:shd w:val="clear" w:color="auto" w:fill="D9D9D9" w:themeFill="background1" w:themeFillShade="D9"/>
          </w:tcPr>
          <w:p w:rsidR="00BD53E4" w:rsidRPr="00CD1BE8" w:rsidRDefault="00BD53E4" w:rsidP="000214A5">
            <w:pPr>
              <w:spacing w:before="60" w:after="60" w:line="240" w:lineRule="auto"/>
              <w:jc w:val="both"/>
              <w:rPr>
                <w:rFonts w:ascii="Arial" w:hAnsi="Arial" w:cs="Arial"/>
                <w:b/>
                <w:i/>
                <w:sz w:val="18"/>
                <w:szCs w:val="18"/>
                <w:lang w:val="fr-BE"/>
              </w:rPr>
            </w:pPr>
            <w:proofErr w:type="spellStart"/>
            <w:r w:rsidRPr="00CD1BE8">
              <w:rPr>
                <w:rFonts w:ascii="Arial" w:hAnsi="Arial" w:cs="Arial"/>
                <w:b/>
                <w:i/>
                <w:sz w:val="18"/>
                <w:szCs w:val="18"/>
                <w:lang w:val="fr-BE"/>
              </w:rPr>
              <w:t>Cut</w:t>
            </w:r>
            <w:proofErr w:type="spellEnd"/>
            <w:r w:rsidRPr="00CD1BE8">
              <w:rPr>
                <w:rFonts w:ascii="Arial" w:hAnsi="Arial" w:cs="Arial"/>
                <w:b/>
                <w:i/>
                <w:sz w:val="18"/>
                <w:szCs w:val="18"/>
                <w:lang w:val="fr-BE"/>
              </w:rPr>
              <w:t xml:space="preserve"> off</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BD53E4" w:rsidRPr="000765A3" w:rsidRDefault="00BD53E4" w:rsidP="000765A3">
            <w:pPr>
              <w:spacing w:before="60" w:after="60" w:line="240" w:lineRule="auto"/>
              <w:jc w:val="center"/>
              <w:rPr>
                <w:rFonts w:ascii="Garamond" w:hAnsi="Garamond" w:cs="Arial"/>
                <w:b/>
                <w:bCs/>
                <w:sz w:val="18"/>
                <w:szCs w:val="18"/>
                <w:lang w:val="fr-BE"/>
              </w:rPr>
            </w:pPr>
          </w:p>
        </w:tc>
        <w:tc>
          <w:tcPr>
            <w:tcW w:w="3984" w:type="dxa"/>
          </w:tcPr>
          <w:p w:rsidR="00BD53E4" w:rsidRPr="000214A5" w:rsidRDefault="00BD53E4" w:rsidP="001C6EB8">
            <w:pPr>
              <w:spacing w:before="60" w:after="60" w:line="240" w:lineRule="auto"/>
              <w:jc w:val="both"/>
              <w:rPr>
                <w:rFonts w:ascii="Arial" w:hAnsi="Arial" w:cs="Arial"/>
                <w:bCs/>
                <w:sz w:val="18"/>
                <w:szCs w:val="18"/>
                <w:lang w:val="fr-BE"/>
              </w:rPr>
            </w:pPr>
            <w:r>
              <w:rPr>
                <w:rFonts w:ascii="Arial" w:hAnsi="Arial" w:cs="Arial"/>
                <w:bCs/>
                <w:sz w:val="18"/>
                <w:szCs w:val="18"/>
                <w:lang w:val="fr-BE"/>
              </w:rPr>
              <w:t>Voir programme « INVENTAIRE ».</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534" w:type="dxa"/>
            <w:shd w:val="clear" w:color="auto" w:fill="D9D9D9" w:themeFill="background1" w:themeFillShade="D9"/>
          </w:tcPr>
          <w:p w:rsidR="00BD53E4" w:rsidRPr="00CC6A4F" w:rsidRDefault="000765A3" w:rsidP="000765A3">
            <w:pPr>
              <w:spacing w:before="60" w:after="60" w:line="240" w:lineRule="auto"/>
              <w:jc w:val="center"/>
              <w:rPr>
                <w:rFonts w:ascii="Arial" w:hAnsi="Arial" w:cs="Arial"/>
                <w:b/>
                <w:sz w:val="18"/>
                <w:szCs w:val="18"/>
                <w:lang w:val="fr-BE"/>
              </w:rPr>
            </w:pPr>
            <w:r w:rsidRPr="00CC6A4F">
              <w:rPr>
                <w:rFonts w:ascii="Arial" w:hAnsi="Arial" w:cs="Arial"/>
                <w:b/>
                <w:sz w:val="18"/>
                <w:szCs w:val="18"/>
                <w:lang w:val="fr-BE"/>
              </w:rPr>
              <w:t>8</w:t>
            </w:r>
            <w:r w:rsidR="00CC6A4F">
              <w:rPr>
                <w:rFonts w:ascii="Arial" w:hAnsi="Arial" w:cs="Arial"/>
                <w:b/>
                <w:sz w:val="18"/>
                <w:szCs w:val="18"/>
                <w:lang w:val="fr-BE"/>
              </w:rPr>
              <w:t>.</w:t>
            </w:r>
          </w:p>
        </w:tc>
        <w:tc>
          <w:tcPr>
            <w:tcW w:w="13190" w:type="dxa"/>
            <w:gridSpan w:val="8"/>
            <w:shd w:val="clear" w:color="auto" w:fill="D9D9D9" w:themeFill="background1" w:themeFillShade="D9"/>
          </w:tcPr>
          <w:p w:rsidR="00BD53E4" w:rsidRPr="000214A5" w:rsidRDefault="00BD53E4" w:rsidP="000214A5">
            <w:pPr>
              <w:spacing w:before="60" w:after="60" w:line="240" w:lineRule="auto"/>
              <w:jc w:val="both"/>
              <w:rPr>
                <w:rFonts w:ascii="Arial" w:hAnsi="Arial" w:cs="Arial"/>
                <w:b/>
                <w:sz w:val="18"/>
                <w:szCs w:val="18"/>
                <w:lang w:val="fr-BE"/>
              </w:rPr>
            </w:pPr>
            <w:r w:rsidRPr="000214A5">
              <w:rPr>
                <w:rFonts w:ascii="Arial" w:hAnsi="Arial" w:cs="Arial"/>
                <w:b/>
                <w:sz w:val="18"/>
                <w:szCs w:val="18"/>
                <w:lang w:val="fr-BE"/>
              </w:rPr>
              <w:t>Détails des comptes fournisseurs</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BD53E4" w:rsidRPr="000765A3" w:rsidRDefault="00BD53E4" w:rsidP="000765A3">
            <w:pPr>
              <w:spacing w:before="60" w:after="60" w:line="240" w:lineRule="auto"/>
              <w:jc w:val="center"/>
              <w:rPr>
                <w:rFonts w:ascii="Garamond" w:hAnsi="Garamond" w:cs="Arial"/>
                <w:b/>
                <w:bCs/>
                <w:sz w:val="18"/>
                <w:szCs w:val="18"/>
                <w:lang w:val="fr-BE"/>
              </w:rPr>
            </w:pPr>
          </w:p>
        </w:tc>
        <w:tc>
          <w:tcPr>
            <w:tcW w:w="3984" w:type="dxa"/>
          </w:tcPr>
          <w:p w:rsidR="00BD53E4" w:rsidRPr="000214A5" w:rsidRDefault="00BD53E4" w:rsidP="000214A5">
            <w:pPr>
              <w:spacing w:before="60" w:after="60" w:line="240" w:lineRule="auto"/>
              <w:jc w:val="both"/>
              <w:rPr>
                <w:rFonts w:ascii="Arial" w:hAnsi="Arial" w:cs="Arial"/>
                <w:bCs/>
                <w:sz w:val="18"/>
                <w:szCs w:val="18"/>
                <w:lang w:val="fr-BE"/>
              </w:rPr>
            </w:pPr>
            <w:r>
              <w:rPr>
                <w:rFonts w:ascii="Arial" w:hAnsi="Arial" w:cs="Arial"/>
                <w:bCs/>
                <w:sz w:val="18"/>
                <w:szCs w:val="18"/>
                <w:lang w:val="fr-BE"/>
              </w:rPr>
              <w:t>O</w:t>
            </w:r>
            <w:r w:rsidRPr="000214A5">
              <w:rPr>
                <w:rFonts w:ascii="Arial" w:hAnsi="Arial" w:cs="Arial"/>
                <w:bCs/>
                <w:sz w:val="18"/>
                <w:szCs w:val="18"/>
                <w:lang w:val="fr-BE"/>
              </w:rPr>
              <w:t>btenir la liste des fournisseurs</w:t>
            </w:r>
            <w:r>
              <w:rPr>
                <w:rFonts w:ascii="Arial" w:hAnsi="Arial" w:cs="Arial"/>
                <w:bCs/>
                <w:sz w:val="18"/>
                <w:szCs w:val="18"/>
                <w:lang w:val="fr-BE"/>
              </w:rPr>
              <w:t xml:space="preserve"> </w:t>
            </w:r>
            <w:r w:rsidRPr="000214A5">
              <w:rPr>
                <w:rFonts w:ascii="Arial" w:hAnsi="Arial" w:cs="Arial"/>
                <w:bCs/>
                <w:sz w:val="18"/>
                <w:szCs w:val="18"/>
                <w:lang w:val="fr-BE"/>
              </w:rPr>
              <w:t>:</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29"/>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réconcilier avec la balance générale et examiner les éléments significatifs réconciliés.</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1"/>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29"/>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parcourir la liste et détecter les éléments inhabituels (soldes, noms), soldes débiteur</w:t>
            </w:r>
            <w:r>
              <w:rPr>
                <w:rFonts w:ascii="Arial" w:hAnsi="Arial" w:cs="Arial"/>
                <w:sz w:val="18"/>
                <w:szCs w:val="18"/>
                <w:lang w:val="fr-BE"/>
              </w:rPr>
              <w:t>s</w:t>
            </w:r>
            <w:r w:rsidRPr="000214A5">
              <w:rPr>
                <w:rFonts w:ascii="Arial" w:hAnsi="Arial" w:cs="Arial"/>
                <w:sz w:val="18"/>
                <w:szCs w:val="18"/>
                <w:lang w:val="fr-BE"/>
              </w:rPr>
              <w:t xml:space="preserve"> (un reclassement matériel / confirmation) …</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29"/>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se renseigner auprès du</w:t>
            </w:r>
            <w:r w:rsidRPr="000214A5">
              <w:rPr>
                <w:rFonts w:ascii="Arial" w:hAnsi="Arial" w:cs="Arial"/>
                <w:sz w:val="18"/>
                <w:szCs w:val="18"/>
                <w:lang w:val="fr-BE"/>
              </w:rPr>
              <w:t xml:space="preserve"> staff responsable des dettes </w:t>
            </w:r>
            <w:r>
              <w:rPr>
                <w:rFonts w:ascii="Arial" w:hAnsi="Arial" w:cs="Arial"/>
                <w:sz w:val="18"/>
                <w:szCs w:val="18"/>
                <w:lang w:val="fr-BE"/>
              </w:rPr>
              <w:t>au sujet de</w:t>
            </w:r>
            <w:r w:rsidRPr="000214A5">
              <w:rPr>
                <w:rFonts w:ascii="Arial" w:hAnsi="Arial" w:cs="Arial"/>
                <w:sz w:val="18"/>
                <w:szCs w:val="18"/>
                <w:lang w:val="fr-BE"/>
              </w:rPr>
              <w:t xml:space="preserve"> :</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534" w:type="dxa"/>
            <w:tcBorders>
              <w:bottom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bottom w:val="single" w:sz="4" w:space="0" w:color="auto"/>
            </w:tcBorders>
          </w:tcPr>
          <w:p w:rsidR="00BD53E4" w:rsidRPr="000214A5" w:rsidRDefault="00BD53E4" w:rsidP="000214A5">
            <w:pPr>
              <w:pStyle w:val="ListParagraph"/>
              <w:numPr>
                <w:ilvl w:val="0"/>
                <w:numId w:val="16"/>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tous les cas o</w:t>
            </w:r>
            <w:r>
              <w:rPr>
                <w:rFonts w:ascii="Arial" w:hAnsi="Arial" w:cs="Arial"/>
                <w:sz w:val="18"/>
                <w:szCs w:val="18"/>
                <w:lang w:val="fr-BE"/>
              </w:rPr>
              <w:t>ù un fournisseur</w:t>
            </w:r>
            <w:r w:rsidRPr="000214A5">
              <w:rPr>
                <w:rFonts w:ascii="Arial" w:hAnsi="Arial" w:cs="Arial"/>
                <w:sz w:val="18"/>
                <w:szCs w:val="18"/>
                <w:lang w:val="fr-BE"/>
              </w:rPr>
              <w:t xml:space="preserve"> semble avoir donné à la société un traitement préférentiel ou des termes inhabituels</w:t>
            </w:r>
          </w:p>
        </w:tc>
        <w:tc>
          <w:tcPr>
            <w:tcW w:w="569"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bottom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rPr>
          <w:trHeight w:val="480"/>
        </w:trPr>
        <w:tc>
          <w:tcPr>
            <w:tcW w:w="534" w:type="dxa"/>
            <w:tcBorders>
              <w:top w:val="single" w:sz="4" w:space="0" w:color="auto"/>
              <w:left w:val="single" w:sz="4" w:space="0" w:color="auto"/>
              <w:bottom w:val="single" w:sz="4" w:space="0" w:color="auto"/>
              <w:right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top w:val="single" w:sz="4" w:space="0" w:color="auto"/>
              <w:left w:val="single" w:sz="4" w:space="0" w:color="auto"/>
              <w:bottom w:val="single" w:sz="4" w:space="0" w:color="auto"/>
              <w:right w:val="single" w:sz="4" w:space="0" w:color="auto"/>
            </w:tcBorders>
          </w:tcPr>
          <w:p w:rsidR="00BD53E4" w:rsidRPr="000214A5" w:rsidRDefault="00BD53E4" w:rsidP="000214A5">
            <w:pPr>
              <w:pStyle w:val="ListParagraph"/>
              <w:numPr>
                <w:ilvl w:val="0"/>
                <w:numId w:val="16"/>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la présence de transactions inhabituelles ou non enregistrées.</w:t>
            </w:r>
          </w:p>
        </w:tc>
        <w:tc>
          <w:tcPr>
            <w:tcW w:w="56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rPr>
          <w:trHeight w:val="720"/>
        </w:trPr>
        <w:tc>
          <w:tcPr>
            <w:tcW w:w="534" w:type="dxa"/>
            <w:tcBorders>
              <w:top w:val="single" w:sz="4" w:space="0" w:color="auto"/>
              <w:left w:val="single" w:sz="4" w:space="0" w:color="auto"/>
              <w:bottom w:val="single" w:sz="4" w:space="0" w:color="auto"/>
              <w:right w:val="single" w:sz="4" w:space="0" w:color="auto"/>
            </w:tcBorders>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Borders>
              <w:top w:val="single" w:sz="4" w:space="0" w:color="auto"/>
              <w:left w:val="single" w:sz="4" w:space="0" w:color="auto"/>
              <w:bottom w:val="single" w:sz="4" w:space="0" w:color="auto"/>
              <w:right w:val="single" w:sz="4" w:space="0" w:color="auto"/>
            </w:tcBorders>
          </w:tcPr>
          <w:p w:rsidR="00BD53E4" w:rsidRPr="000214A5" w:rsidRDefault="00BD53E4" w:rsidP="004D016D">
            <w:pPr>
              <w:pStyle w:val="ListParagraph"/>
              <w:numPr>
                <w:ilvl w:val="0"/>
                <w:numId w:val="16"/>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identifi</w:t>
            </w:r>
            <w:r>
              <w:rPr>
                <w:rFonts w:ascii="Arial" w:hAnsi="Arial" w:cs="Arial"/>
                <w:sz w:val="18"/>
                <w:szCs w:val="18"/>
                <w:lang w:val="fr-BE"/>
              </w:rPr>
              <w:t xml:space="preserve">cation de </w:t>
            </w:r>
            <w:r w:rsidRPr="000214A5">
              <w:rPr>
                <w:rFonts w:ascii="Arial" w:hAnsi="Arial" w:cs="Arial"/>
                <w:sz w:val="18"/>
                <w:szCs w:val="18"/>
                <w:lang w:val="fr-BE"/>
              </w:rPr>
              <w:t xml:space="preserve"> dettes entre parties liées.</w:t>
            </w:r>
          </w:p>
        </w:tc>
        <w:tc>
          <w:tcPr>
            <w:tcW w:w="56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A91AF9" w:rsidTr="00CC6A4F">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BD53E4" w:rsidRPr="000765A3" w:rsidRDefault="00BD53E4" w:rsidP="000765A3">
            <w:pPr>
              <w:spacing w:before="60" w:after="60" w:line="240" w:lineRule="auto"/>
              <w:jc w:val="center"/>
              <w:rPr>
                <w:rFonts w:ascii="Garamond" w:hAnsi="Garamond" w:cs="Arial"/>
                <w:b/>
                <w:bCs/>
                <w:sz w:val="18"/>
                <w:szCs w:val="18"/>
                <w:lang w:val="fr-BE"/>
              </w:rPr>
            </w:pPr>
          </w:p>
        </w:tc>
        <w:tc>
          <w:tcPr>
            <w:tcW w:w="3984"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776B5E">
            <w:pPr>
              <w:spacing w:before="60" w:after="60" w:line="240" w:lineRule="auto"/>
              <w:jc w:val="center"/>
              <w:rPr>
                <w:rFonts w:ascii="Arial" w:hAnsi="Arial" w:cs="Arial"/>
                <w:b/>
                <w:bCs/>
                <w:sz w:val="18"/>
                <w:szCs w:val="18"/>
                <w:lang w:val="fr-BE"/>
              </w:rPr>
            </w:pPr>
          </w:p>
          <w:p w:rsidR="00BD53E4" w:rsidRPr="00A91AF9" w:rsidRDefault="00BD53E4" w:rsidP="00776B5E">
            <w:pPr>
              <w:spacing w:before="60" w:after="60" w:line="240" w:lineRule="auto"/>
              <w:jc w:val="center"/>
              <w:rPr>
                <w:rFonts w:ascii="Arial" w:hAnsi="Arial" w:cs="Arial"/>
                <w:b/>
                <w:bCs/>
                <w:sz w:val="18"/>
                <w:szCs w:val="18"/>
                <w:lang w:val="fr-BE"/>
              </w:rPr>
            </w:pPr>
          </w:p>
          <w:p w:rsidR="00BD53E4" w:rsidRPr="00A91AF9" w:rsidRDefault="00BD53E4" w:rsidP="00776B5E">
            <w:pPr>
              <w:spacing w:before="60" w:after="60" w:line="240" w:lineRule="auto"/>
              <w:jc w:val="center"/>
              <w:rPr>
                <w:rFonts w:ascii="Arial" w:hAnsi="Arial" w:cs="Arial"/>
                <w:b/>
                <w:bCs/>
                <w:sz w:val="18"/>
                <w:szCs w:val="18"/>
                <w:lang w:val="fr-BE"/>
              </w:rPr>
            </w:pPr>
            <w:r w:rsidRPr="00A91AF9">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A91AF9">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A91AF9">
              <w:rPr>
                <w:rFonts w:ascii="Arial" w:hAnsi="Arial" w:cs="Arial"/>
                <w:b/>
                <w:sz w:val="18"/>
                <w:szCs w:val="18"/>
                <w:lang w:val="fr-BE"/>
              </w:rPr>
              <w:t>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A91AF9">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A91AF9">
              <w:rPr>
                <w:rFonts w:ascii="Arial" w:hAnsi="Arial" w:cs="Arial"/>
                <w:b/>
                <w:sz w:val="18"/>
                <w:szCs w:val="18"/>
                <w:lang w:val="fr-BE"/>
              </w:rPr>
              <w:t>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BD53E4" w:rsidRPr="00A91AF9" w:rsidRDefault="00BD53E4"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BD53E4" w:rsidRPr="00A91AF9" w:rsidRDefault="00BD53E4" w:rsidP="00776B5E">
            <w:pPr>
              <w:spacing w:before="60" w:after="60" w:line="240" w:lineRule="auto"/>
              <w:jc w:val="center"/>
              <w:rPr>
                <w:rFonts w:ascii="Arial" w:hAnsi="Arial" w:cs="Arial"/>
                <w:b/>
                <w:sz w:val="18"/>
                <w:szCs w:val="18"/>
                <w:lang w:val="fr-BE"/>
              </w:rPr>
            </w:pPr>
          </w:p>
          <w:p w:rsidR="00BD53E4" w:rsidRPr="00A91AF9" w:rsidRDefault="00BD53E4" w:rsidP="00776B5E">
            <w:pPr>
              <w:spacing w:before="60" w:after="60" w:line="240" w:lineRule="auto"/>
              <w:jc w:val="center"/>
              <w:rPr>
                <w:rFonts w:ascii="Arial" w:hAnsi="Arial" w:cs="Arial"/>
                <w:b/>
                <w:sz w:val="18"/>
                <w:szCs w:val="18"/>
                <w:lang w:val="fr-BE"/>
              </w:rPr>
            </w:pPr>
          </w:p>
          <w:p w:rsidR="00BD53E4" w:rsidRPr="00A91AF9" w:rsidRDefault="00BD53E4" w:rsidP="00776B5E">
            <w:pPr>
              <w:spacing w:before="60" w:after="60" w:line="240" w:lineRule="auto"/>
              <w:jc w:val="center"/>
              <w:rPr>
                <w:rFonts w:ascii="Arial" w:hAnsi="Arial" w:cs="Arial"/>
                <w:b/>
                <w:sz w:val="18"/>
                <w:szCs w:val="18"/>
                <w:lang w:val="fr-BE"/>
              </w:rPr>
            </w:pPr>
            <w:r w:rsidRPr="00A91AF9">
              <w:rPr>
                <w:rFonts w:ascii="Arial" w:hAnsi="Arial" w:cs="Arial"/>
                <w:b/>
                <w:sz w:val="18"/>
                <w:szCs w:val="18"/>
                <w:lang w:val="fr-BE"/>
              </w:rPr>
              <w:t>Commentaires</w:t>
            </w:r>
          </w:p>
        </w:tc>
      </w:tr>
      <w:tr w:rsidR="00BD53E4" w:rsidRPr="00F5457B" w:rsidTr="00CC6A4F">
        <w:trPr>
          <w:trHeight w:val="2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3E4" w:rsidRPr="00CC6A4F" w:rsidRDefault="000765A3" w:rsidP="000765A3">
            <w:pPr>
              <w:spacing w:before="60" w:after="60" w:line="240" w:lineRule="auto"/>
              <w:jc w:val="center"/>
              <w:rPr>
                <w:rFonts w:ascii="Arial" w:hAnsi="Arial" w:cs="Arial"/>
                <w:b/>
                <w:bCs/>
                <w:sz w:val="18"/>
                <w:szCs w:val="18"/>
                <w:lang w:val="fr-BE"/>
              </w:rPr>
            </w:pPr>
            <w:r w:rsidRPr="00CC6A4F">
              <w:rPr>
                <w:rFonts w:ascii="Arial" w:hAnsi="Arial" w:cs="Arial"/>
                <w:b/>
                <w:bCs/>
                <w:sz w:val="18"/>
                <w:szCs w:val="18"/>
                <w:lang w:val="fr-BE"/>
              </w:rPr>
              <w:t>9</w:t>
            </w:r>
            <w:r w:rsidR="00CC6A4F">
              <w:rPr>
                <w:rFonts w:ascii="Arial" w:hAnsi="Arial" w:cs="Arial"/>
                <w:b/>
                <w:bCs/>
                <w:sz w:val="18"/>
                <w:szCs w:val="18"/>
                <w:lang w:val="fr-BE"/>
              </w:rPr>
              <w:t>.</w:t>
            </w:r>
          </w:p>
        </w:tc>
        <w:tc>
          <w:tcPr>
            <w:tcW w:w="131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53E4" w:rsidRPr="000214A5" w:rsidRDefault="00BD53E4" w:rsidP="000214A5">
            <w:pPr>
              <w:spacing w:before="60" w:after="60" w:line="240" w:lineRule="auto"/>
              <w:jc w:val="both"/>
              <w:rPr>
                <w:rFonts w:ascii="Arial" w:hAnsi="Arial" w:cs="Arial"/>
                <w:b/>
                <w:bCs/>
                <w:sz w:val="18"/>
                <w:szCs w:val="18"/>
                <w:lang w:val="fr-BE"/>
              </w:rPr>
            </w:pPr>
            <w:r>
              <w:rPr>
                <w:rFonts w:ascii="Arial" w:hAnsi="Arial" w:cs="Arial"/>
                <w:b/>
                <w:bCs/>
                <w:sz w:val="18"/>
                <w:szCs w:val="18"/>
                <w:lang w:val="fr-BE"/>
              </w:rPr>
              <w:t>C</w:t>
            </w:r>
            <w:r w:rsidRPr="000214A5">
              <w:rPr>
                <w:rFonts w:ascii="Arial" w:hAnsi="Arial" w:cs="Arial"/>
                <w:b/>
                <w:bCs/>
                <w:sz w:val="18"/>
                <w:szCs w:val="18"/>
                <w:lang w:val="fr-BE"/>
              </w:rPr>
              <w:t>onfirmation</w:t>
            </w:r>
          </w:p>
        </w:tc>
      </w:tr>
      <w:tr w:rsidR="00BD53E4" w:rsidRPr="00F5457B"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34" w:type="dxa"/>
            <w:tcBorders>
              <w:top w:val="single" w:sz="4" w:space="0" w:color="auto"/>
            </w:tcBorders>
          </w:tcPr>
          <w:p w:rsidR="00BD53E4" w:rsidRPr="000765A3" w:rsidRDefault="00BD53E4" w:rsidP="000765A3">
            <w:pPr>
              <w:spacing w:before="60" w:after="60" w:line="240" w:lineRule="auto"/>
              <w:jc w:val="center"/>
              <w:rPr>
                <w:rFonts w:ascii="Garamond" w:hAnsi="Garamond" w:cs="Arial"/>
                <w:b/>
                <w:sz w:val="18"/>
                <w:szCs w:val="18"/>
                <w:lang w:val="fr-BE"/>
              </w:rPr>
            </w:pPr>
          </w:p>
        </w:tc>
        <w:tc>
          <w:tcPr>
            <w:tcW w:w="3984" w:type="dxa"/>
            <w:tcBorders>
              <w:top w:val="single" w:sz="4" w:space="0" w:color="auto"/>
            </w:tcBorders>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xml:space="preserve">Vérifier les dettes par : </w:t>
            </w:r>
          </w:p>
        </w:tc>
        <w:tc>
          <w:tcPr>
            <w:tcW w:w="569"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p>
        </w:tc>
        <w:tc>
          <w:tcPr>
            <w:tcW w:w="992"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p>
        </w:tc>
        <w:tc>
          <w:tcPr>
            <w:tcW w:w="1134"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tcBorders>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30"/>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la vérification de la concordanc</w:t>
            </w:r>
            <w:r>
              <w:rPr>
                <w:rFonts w:ascii="Arial" w:hAnsi="Arial" w:cs="Arial"/>
                <w:sz w:val="18"/>
                <w:szCs w:val="18"/>
                <w:lang w:val="fr-BE"/>
              </w:rPr>
              <w:t>e avec le relevé du fournisseur;</w:t>
            </w:r>
            <w:r w:rsidRPr="000214A5">
              <w:rPr>
                <w:rFonts w:ascii="Arial" w:hAnsi="Arial" w:cs="Arial"/>
                <w:sz w:val="18"/>
                <w:szCs w:val="18"/>
                <w:lang w:val="fr-BE"/>
              </w:rPr>
              <w:t xml:space="preserve"> ou</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7"/>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Pr="000214A5" w:rsidRDefault="00BD53E4" w:rsidP="00CD1BE8">
            <w:pPr>
              <w:pStyle w:val="ListParagraph"/>
              <w:numPr>
                <w:ilvl w:val="0"/>
                <w:numId w:val="30"/>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confirmation des dettes importantes ou des parties liées (sélection des fournisseurs les plus importants</w:t>
            </w:r>
            <w:r>
              <w:rPr>
                <w:rFonts w:ascii="Arial" w:hAnsi="Arial" w:cs="Arial"/>
                <w:sz w:val="18"/>
                <w:szCs w:val="18"/>
                <w:lang w:val="fr-BE"/>
              </w:rPr>
              <w:t xml:space="preserve">, </w:t>
            </w:r>
            <w:r w:rsidRPr="000214A5">
              <w:rPr>
                <w:rFonts w:ascii="Arial" w:hAnsi="Arial" w:cs="Arial"/>
                <w:sz w:val="18"/>
                <w:szCs w:val="18"/>
                <w:lang w:val="fr-BE"/>
              </w:rPr>
              <w:t>liste des fournisseurs triés par chiffre d'affaires); les soldes des parties lié</w:t>
            </w:r>
            <w:r>
              <w:rPr>
                <w:rFonts w:ascii="Arial" w:hAnsi="Arial" w:cs="Arial"/>
                <w:sz w:val="18"/>
                <w:szCs w:val="18"/>
                <w:lang w:val="fr-BE"/>
              </w:rPr>
              <w:t>e</w:t>
            </w:r>
            <w:r w:rsidRPr="000214A5">
              <w:rPr>
                <w:rFonts w:ascii="Arial" w:hAnsi="Arial" w:cs="Arial"/>
                <w:sz w:val="18"/>
                <w:szCs w:val="18"/>
                <w:lang w:val="fr-BE"/>
              </w:rPr>
              <w:t>s ainsi que les nouveaux fournisseurs doivent être envisagé</w:t>
            </w:r>
            <w:r>
              <w:rPr>
                <w:rFonts w:ascii="Arial" w:hAnsi="Arial" w:cs="Arial"/>
                <w:sz w:val="18"/>
                <w:szCs w:val="18"/>
                <w:lang w:val="fr-BE"/>
              </w:rPr>
              <w:t>s</w:t>
            </w:r>
            <w:r w:rsidRPr="000214A5">
              <w:rPr>
                <w:rFonts w:ascii="Arial" w:hAnsi="Arial" w:cs="Arial"/>
                <w:sz w:val="18"/>
                <w:szCs w:val="18"/>
                <w:lang w:val="fr-BE"/>
              </w:rPr>
              <w:t xml:space="preserve"> séparément pour la procédure de confirmation)</w:t>
            </w:r>
            <w:r>
              <w:rPr>
                <w:rFonts w:ascii="Arial" w:hAnsi="Arial" w:cs="Arial"/>
                <w:sz w:val="18"/>
                <w:szCs w:val="18"/>
                <w:lang w:val="fr-BE"/>
              </w:rPr>
              <w:t>.</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534" w:type="dxa"/>
          </w:tcPr>
          <w:p w:rsidR="00BD53E4" w:rsidRPr="000765A3" w:rsidRDefault="00BD53E4" w:rsidP="000765A3">
            <w:pPr>
              <w:pStyle w:val="ListParagraph"/>
              <w:spacing w:before="60" w:after="60" w:line="240" w:lineRule="auto"/>
              <w:ind w:left="0"/>
              <w:contextualSpacing w:val="0"/>
              <w:jc w:val="center"/>
              <w:rPr>
                <w:rFonts w:ascii="Garamond" w:hAnsi="Garamond" w:cs="Arial"/>
                <w:b/>
                <w:sz w:val="18"/>
                <w:szCs w:val="18"/>
                <w:lang w:val="fr-BE"/>
              </w:rPr>
            </w:pPr>
          </w:p>
        </w:tc>
        <w:tc>
          <w:tcPr>
            <w:tcW w:w="3984" w:type="dxa"/>
          </w:tcPr>
          <w:p w:rsidR="00BD53E4" w:rsidRDefault="00BD53E4" w:rsidP="00CD1BE8">
            <w:pPr>
              <w:pStyle w:val="ListParagraph"/>
              <w:numPr>
                <w:ilvl w:val="0"/>
                <w:numId w:val="30"/>
              </w:numPr>
              <w:spacing w:before="60" w:after="60" w:line="240" w:lineRule="auto"/>
              <w:contextualSpacing w:val="0"/>
              <w:jc w:val="both"/>
              <w:rPr>
                <w:lang w:val="fr-BE"/>
              </w:rPr>
            </w:pPr>
            <w:r>
              <w:rPr>
                <w:rFonts w:ascii="Arial" w:hAnsi="Arial" w:cs="Arial"/>
                <w:sz w:val="18"/>
                <w:szCs w:val="18"/>
                <w:lang w:val="fr-BE"/>
              </w:rPr>
              <w:t>E</w:t>
            </w:r>
            <w:r w:rsidRPr="000214A5">
              <w:rPr>
                <w:rFonts w:ascii="Arial" w:hAnsi="Arial" w:cs="Arial"/>
                <w:sz w:val="18"/>
                <w:szCs w:val="18"/>
                <w:lang w:val="fr-BE"/>
              </w:rPr>
              <w:t>xécuter les procédures d'audit alternatives pour les confirmations non reçues ou qui sont insatisfaisantes (réconcilier avec le paiement subséquent du fournisseur, l'expédition des documents et des factures, des relevés des fournisseurs ou d'autres documents à l'appui)</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BD53E4" w:rsidRPr="00CC6A4F" w:rsidTr="00CC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534" w:type="dxa"/>
          </w:tcPr>
          <w:p w:rsidR="00BD53E4" w:rsidRPr="000765A3" w:rsidRDefault="00BD53E4" w:rsidP="000765A3">
            <w:pPr>
              <w:spacing w:before="60" w:after="60" w:line="240" w:lineRule="auto"/>
              <w:jc w:val="center"/>
              <w:rPr>
                <w:rFonts w:ascii="Garamond" w:hAnsi="Garamond" w:cs="Arial"/>
                <w:b/>
                <w:sz w:val="18"/>
                <w:szCs w:val="18"/>
                <w:lang w:val="fr-BE"/>
              </w:rPr>
            </w:pPr>
          </w:p>
        </w:tc>
        <w:tc>
          <w:tcPr>
            <w:tcW w:w="3984" w:type="dxa"/>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Résumer les résultats et analyser les différences en s'appuyant sur les pièces justificatives.</w:t>
            </w:r>
          </w:p>
        </w:tc>
        <w:tc>
          <w:tcPr>
            <w:tcW w:w="56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BD53E4" w:rsidRPr="000214A5" w:rsidRDefault="00BD53E4"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bl>
    <w:p w:rsidR="00F67144" w:rsidRPr="00F67144" w:rsidRDefault="00F67144">
      <w:pPr>
        <w:rPr>
          <w:lang w:val="fr-FR"/>
        </w:rPr>
      </w:pPr>
    </w:p>
    <w:p w:rsidR="00F67144" w:rsidRPr="00F67144" w:rsidRDefault="00F67144">
      <w:pPr>
        <w:rPr>
          <w:lang w:val="fr-FR"/>
        </w:rPr>
      </w:pPr>
    </w:p>
    <w:p w:rsidR="00F67144" w:rsidRPr="00F67144" w:rsidRDefault="00F67144">
      <w:pPr>
        <w:rPr>
          <w:lang w:val="fr-FR"/>
        </w:rPr>
      </w:pPr>
    </w:p>
    <w:p w:rsidR="00F67144" w:rsidRPr="00F67144" w:rsidRDefault="00F67144">
      <w:pPr>
        <w:rPr>
          <w:lang w:val="fr-FR"/>
        </w:rPr>
      </w:pPr>
    </w:p>
    <w:p w:rsidR="00F67144" w:rsidRPr="00F67144" w:rsidRDefault="00F67144">
      <w:pPr>
        <w:rPr>
          <w:lang w:val="fr-FR"/>
        </w:rPr>
      </w:pPr>
    </w:p>
    <w:p w:rsidR="00F67144" w:rsidRPr="00F67144" w:rsidRDefault="00F67144">
      <w:pPr>
        <w:rPr>
          <w:lang w:val="fr-FR"/>
        </w:rPr>
      </w:pPr>
    </w:p>
    <w:tbl>
      <w:tblPr>
        <w:tblW w:w="13724" w:type="dxa"/>
        <w:tblLook w:val="00A0" w:firstRow="1" w:lastRow="0" w:firstColumn="1" w:lastColumn="0" w:noHBand="0" w:noVBand="0"/>
      </w:tblPr>
      <w:tblGrid>
        <w:gridCol w:w="467"/>
        <w:gridCol w:w="4126"/>
        <w:gridCol w:w="569"/>
        <w:gridCol w:w="709"/>
        <w:gridCol w:w="1134"/>
        <w:gridCol w:w="992"/>
        <w:gridCol w:w="1134"/>
        <w:gridCol w:w="992"/>
        <w:gridCol w:w="3676"/>
      </w:tblGrid>
      <w:tr w:rsidR="000765A3" w:rsidRPr="00A91AF9" w:rsidTr="000765A3">
        <w:trPr>
          <w:trHeight w:val="1636"/>
        </w:trPr>
        <w:tc>
          <w:tcPr>
            <w:tcW w:w="392" w:type="dxa"/>
            <w:tcBorders>
              <w:top w:val="single" w:sz="4" w:space="0" w:color="auto"/>
              <w:left w:val="single" w:sz="4" w:space="0" w:color="auto"/>
              <w:bottom w:val="single" w:sz="4" w:space="0" w:color="auto"/>
              <w:right w:val="single" w:sz="4" w:space="0" w:color="auto"/>
            </w:tcBorders>
            <w:shd w:val="clear" w:color="auto" w:fill="CCFFFF"/>
          </w:tcPr>
          <w:p w:rsidR="000765A3" w:rsidRPr="000765A3" w:rsidRDefault="000765A3" w:rsidP="00776B5E">
            <w:pPr>
              <w:spacing w:before="60" w:after="60" w:line="240" w:lineRule="auto"/>
              <w:jc w:val="center"/>
              <w:rPr>
                <w:rFonts w:ascii="Garamond" w:hAnsi="Garamond"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0765A3" w:rsidRPr="00A91AF9" w:rsidRDefault="000765A3" w:rsidP="00776B5E">
            <w:pPr>
              <w:spacing w:before="60" w:after="60" w:line="240" w:lineRule="auto"/>
              <w:jc w:val="center"/>
              <w:rPr>
                <w:rFonts w:ascii="Arial" w:hAnsi="Arial" w:cs="Arial"/>
                <w:b/>
                <w:bCs/>
                <w:sz w:val="18"/>
                <w:szCs w:val="18"/>
                <w:lang w:val="fr-BE"/>
              </w:rPr>
            </w:pPr>
          </w:p>
          <w:p w:rsidR="000765A3" w:rsidRPr="00A91AF9" w:rsidRDefault="000765A3" w:rsidP="00776B5E">
            <w:pPr>
              <w:spacing w:before="60" w:after="60" w:line="240" w:lineRule="auto"/>
              <w:jc w:val="center"/>
              <w:rPr>
                <w:rFonts w:ascii="Arial" w:hAnsi="Arial" w:cs="Arial"/>
                <w:b/>
                <w:bCs/>
                <w:sz w:val="18"/>
                <w:szCs w:val="18"/>
                <w:lang w:val="fr-BE"/>
              </w:rPr>
            </w:pPr>
          </w:p>
          <w:p w:rsidR="000765A3" w:rsidRPr="00A91AF9" w:rsidRDefault="000765A3" w:rsidP="00776B5E">
            <w:pPr>
              <w:spacing w:before="60" w:after="60" w:line="240" w:lineRule="auto"/>
              <w:jc w:val="center"/>
              <w:rPr>
                <w:rFonts w:ascii="Arial" w:hAnsi="Arial" w:cs="Arial"/>
                <w:b/>
                <w:bCs/>
                <w:sz w:val="18"/>
                <w:szCs w:val="18"/>
                <w:lang w:val="fr-BE"/>
              </w:rPr>
            </w:pPr>
            <w:r w:rsidRPr="00A91AF9">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A91AF9">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A91AF9">
              <w:rPr>
                <w:rFonts w:ascii="Arial" w:hAnsi="Arial" w:cs="Arial"/>
                <w:b/>
                <w:sz w:val="18"/>
                <w:szCs w:val="18"/>
                <w:lang w:val="fr-BE"/>
              </w:rPr>
              <w:t>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A91AF9">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A91AF9">
              <w:rPr>
                <w:rFonts w:ascii="Arial" w:hAnsi="Arial" w:cs="Arial"/>
                <w:b/>
                <w:sz w:val="18"/>
                <w:szCs w:val="18"/>
                <w:lang w:val="fr-BE"/>
              </w:rPr>
              <w:t>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0765A3" w:rsidRPr="00A91AF9" w:rsidRDefault="000765A3" w:rsidP="00776B5E">
            <w:pPr>
              <w:spacing w:before="60" w:after="60" w:line="240" w:lineRule="auto"/>
              <w:jc w:val="center"/>
              <w:rPr>
                <w:rFonts w:ascii="Arial" w:hAnsi="Arial" w:cs="Arial"/>
                <w:b/>
                <w:sz w:val="18"/>
                <w:szCs w:val="18"/>
                <w:lang w:val="fr-BE"/>
              </w:rPr>
            </w:pPr>
          </w:p>
          <w:p w:rsidR="000765A3" w:rsidRPr="00A91AF9" w:rsidRDefault="000765A3" w:rsidP="00776B5E">
            <w:pPr>
              <w:spacing w:before="60" w:after="60" w:line="240" w:lineRule="auto"/>
              <w:jc w:val="center"/>
              <w:rPr>
                <w:rFonts w:ascii="Arial" w:hAnsi="Arial" w:cs="Arial"/>
                <w:b/>
                <w:sz w:val="18"/>
                <w:szCs w:val="18"/>
                <w:lang w:val="fr-BE"/>
              </w:rPr>
            </w:pPr>
          </w:p>
          <w:p w:rsidR="000765A3" w:rsidRPr="00A91AF9" w:rsidRDefault="000765A3" w:rsidP="00776B5E">
            <w:pPr>
              <w:spacing w:before="60" w:after="60" w:line="240" w:lineRule="auto"/>
              <w:jc w:val="center"/>
              <w:rPr>
                <w:rFonts w:ascii="Arial" w:hAnsi="Arial" w:cs="Arial"/>
                <w:b/>
                <w:sz w:val="18"/>
                <w:szCs w:val="18"/>
                <w:lang w:val="fr-BE"/>
              </w:rPr>
            </w:pPr>
            <w:r w:rsidRPr="00A91AF9">
              <w:rPr>
                <w:rFonts w:ascii="Arial" w:hAnsi="Arial" w:cs="Arial"/>
                <w:b/>
                <w:sz w:val="18"/>
                <w:szCs w:val="18"/>
                <w:lang w:val="fr-BE"/>
              </w:rPr>
              <w:t>Commentaires</w:t>
            </w:r>
          </w:p>
        </w:tc>
      </w:tr>
      <w:tr w:rsidR="000765A3" w:rsidRPr="00CC6A4F" w:rsidTr="000765A3">
        <w:trPr>
          <w:trHeight w:val="337"/>
        </w:trPr>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65A3" w:rsidRPr="00CC6A4F" w:rsidRDefault="000765A3" w:rsidP="000214A5">
            <w:pPr>
              <w:spacing w:before="60" w:after="60" w:line="240" w:lineRule="auto"/>
              <w:jc w:val="both"/>
              <w:rPr>
                <w:rFonts w:ascii="Arial" w:hAnsi="Arial" w:cs="Arial"/>
                <w:b/>
                <w:sz w:val="18"/>
                <w:szCs w:val="18"/>
                <w:lang w:val="fr-BE"/>
              </w:rPr>
            </w:pPr>
            <w:r w:rsidRPr="00CC6A4F">
              <w:rPr>
                <w:rFonts w:ascii="Arial" w:hAnsi="Arial" w:cs="Arial"/>
                <w:b/>
                <w:sz w:val="18"/>
                <w:szCs w:val="18"/>
                <w:lang w:val="fr-BE"/>
              </w:rPr>
              <w:t>10</w:t>
            </w:r>
            <w:r w:rsidR="00CC6A4F">
              <w:rPr>
                <w:rFonts w:ascii="Arial" w:hAnsi="Arial" w:cs="Arial"/>
                <w:b/>
                <w:sz w:val="18"/>
                <w:szCs w:val="18"/>
                <w:lang w:val="fr-BE"/>
              </w:rPr>
              <w:t>.</w:t>
            </w:r>
          </w:p>
        </w:tc>
        <w:tc>
          <w:tcPr>
            <w:tcW w:w="1333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65A3" w:rsidRPr="000214A5" w:rsidRDefault="000765A3" w:rsidP="000214A5">
            <w:pPr>
              <w:spacing w:before="60" w:after="60" w:line="240" w:lineRule="auto"/>
              <w:jc w:val="both"/>
              <w:rPr>
                <w:rFonts w:ascii="Arial" w:hAnsi="Arial" w:cs="Arial"/>
                <w:b/>
                <w:sz w:val="18"/>
                <w:szCs w:val="18"/>
                <w:lang w:val="fr-BE"/>
              </w:rPr>
            </w:pPr>
            <w:r w:rsidRPr="000214A5">
              <w:rPr>
                <w:rFonts w:ascii="Arial" w:hAnsi="Arial" w:cs="Arial"/>
                <w:b/>
                <w:sz w:val="18"/>
                <w:szCs w:val="18"/>
                <w:lang w:val="fr-BE"/>
              </w:rPr>
              <w:t>Charges à imputer/Facture</w:t>
            </w:r>
            <w:r>
              <w:rPr>
                <w:rFonts w:ascii="Arial" w:hAnsi="Arial" w:cs="Arial"/>
                <w:b/>
                <w:sz w:val="18"/>
                <w:szCs w:val="18"/>
                <w:lang w:val="fr-BE"/>
              </w:rPr>
              <w:t>s</w:t>
            </w:r>
            <w:r w:rsidRPr="000214A5">
              <w:rPr>
                <w:rFonts w:ascii="Arial" w:hAnsi="Arial" w:cs="Arial"/>
                <w:b/>
                <w:sz w:val="18"/>
                <w:szCs w:val="18"/>
                <w:lang w:val="fr-BE"/>
              </w:rPr>
              <w:t xml:space="preserve"> à recevoir</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392" w:type="dxa"/>
          </w:tcPr>
          <w:p w:rsidR="000765A3" w:rsidRPr="000765A3" w:rsidRDefault="000765A3" w:rsidP="000214A5">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xml:space="preserve">Vérifier les charges à imputer (autres que les </w:t>
            </w:r>
            <w:r>
              <w:rPr>
                <w:rFonts w:ascii="Arial" w:hAnsi="Arial" w:cs="Arial"/>
                <w:sz w:val="18"/>
                <w:szCs w:val="18"/>
                <w:lang w:val="fr-BE"/>
              </w:rPr>
              <w:t>impôts à payer</w:t>
            </w:r>
            <w:r w:rsidRPr="000214A5">
              <w:rPr>
                <w:rFonts w:ascii="Arial" w:hAnsi="Arial" w:cs="Arial"/>
                <w:sz w:val="18"/>
                <w:szCs w:val="18"/>
                <w:lang w:val="fr-BE"/>
              </w:rPr>
              <w:t>)</w:t>
            </w:r>
            <w:r>
              <w:rPr>
                <w:rFonts w:ascii="Arial" w:hAnsi="Arial" w:cs="Arial"/>
                <w:sz w:val="18"/>
                <w:szCs w:val="18"/>
                <w:lang w:val="fr-BE"/>
              </w:rPr>
              <w:t xml:space="preserve"> </w:t>
            </w:r>
            <w:r w:rsidRPr="000214A5">
              <w:rPr>
                <w:rFonts w:ascii="Arial" w:hAnsi="Arial" w:cs="Arial"/>
                <w:sz w:val="18"/>
                <w:szCs w:val="18"/>
                <w:lang w:val="fr-BE"/>
              </w:rPr>
              <w: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18"/>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documenter la base pour justifier l</w:t>
            </w:r>
            <w:r>
              <w:rPr>
                <w:rFonts w:ascii="Arial" w:hAnsi="Arial" w:cs="Arial"/>
                <w:sz w:val="18"/>
                <w:szCs w:val="18"/>
                <w:lang w:val="fr-BE"/>
              </w:rPr>
              <w:t>e calcul de la comptabilisation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18"/>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é</w:t>
            </w:r>
            <w:r w:rsidRPr="000214A5">
              <w:rPr>
                <w:rFonts w:ascii="Arial" w:hAnsi="Arial" w:cs="Arial"/>
                <w:sz w:val="18"/>
                <w:szCs w:val="18"/>
                <w:lang w:val="fr-BE"/>
              </w:rPr>
              <w:t xml:space="preserve">valuer le caractère raisonnable de l'exercice </w:t>
            </w:r>
            <w:r>
              <w:rPr>
                <w:rFonts w:ascii="Arial" w:hAnsi="Arial" w:cs="Arial"/>
                <w:sz w:val="18"/>
                <w:szCs w:val="18"/>
                <w:lang w:val="fr-BE"/>
              </w:rPr>
              <w:t xml:space="preserve">en </w:t>
            </w:r>
            <w:r w:rsidRPr="000214A5">
              <w:rPr>
                <w:rFonts w:ascii="Arial" w:hAnsi="Arial" w:cs="Arial"/>
                <w:sz w:val="18"/>
                <w:szCs w:val="18"/>
                <w:lang w:val="fr-BE"/>
              </w:rPr>
              <w: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2" w:type="dxa"/>
          </w:tcPr>
          <w:p w:rsidR="000765A3" w:rsidRPr="000765A3" w:rsidRDefault="000765A3" w:rsidP="000214A5">
            <w:pPr>
              <w:pStyle w:val="ListParagraph"/>
              <w:numPr>
                <w:ilvl w:val="0"/>
                <w:numId w:val="19"/>
              </w:numPr>
              <w:spacing w:before="60" w:after="60" w:line="240" w:lineRule="auto"/>
              <w:ind w:left="616" w:hanging="283"/>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19"/>
              </w:numPr>
              <w:spacing w:before="60" w:after="60" w:line="240" w:lineRule="auto"/>
              <w:ind w:left="616" w:hanging="283"/>
              <w:contextualSpacing w:val="0"/>
              <w:jc w:val="both"/>
              <w:rPr>
                <w:rFonts w:ascii="Arial" w:hAnsi="Arial" w:cs="Arial"/>
                <w:sz w:val="18"/>
                <w:szCs w:val="18"/>
                <w:lang w:val="fr-BE"/>
              </w:rPr>
            </w:pPr>
            <w:r w:rsidRPr="000214A5">
              <w:rPr>
                <w:rFonts w:ascii="Arial" w:hAnsi="Arial" w:cs="Arial"/>
                <w:sz w:val="18"/>
                <w:szCs w:val="18"/>
                <w:lang w:val="fr-BE"/>
              </w:rPr>
              <w:t>effectu</w:t>
            </w:r>
            <w:r>
              <w:rPr>
                <w:rFonts w:ascii="Arial" w:hAnsi="Arial" w:cs="Arial"/>
                <w:sz w:val="18"/>
                <w:szCs w:val="18"/>
                <w:lang w:val="fr-BE"/>
              </w:rPr>
              <w:t>ant</w:t>
            </w:r>
            <w:r w:rsidRPr="000214A5">
              <w:rPr>
                <w:rFonts w:ascii="Arial" w:hAnsi="Arial" w:cs="Arial"/>
                <w:sz w:val="18"/>
                <w:szCs w:val="18"/>
                <w:lang w:val="fr-BE"/>
              </w:rPr>
              <w:t xml:space="preserve"> un test prédictif (A quoi peut-on s'attendre ?) ;</w:t>
            </w:r>
            <w:r>
              <w:rPr>
                <w:rFonts w:ascii="Arial" w:hAnsi="Arial" w:cs="Arial"/>
                <w:sz w:val="18"/>
                <w:szCs w:val="18"/>
                <w:lang w:val="fr-BE"/>
              </w:rPr>
              <w:t xml:space="preserve"> et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2" w:type="dxa"/>
          </w:tcPr>
          <w:p w:rsidR="000765A3" w:rsidRPr="000765A3" w:rsidRDefault="000765A3" w:rsidP="000214A5">
            <w:pPr>
              <w:pStyle w:val="ListParagraph"/>
              <w:numPr>
                <w:ilvl w:val="0"/>
                <w:numId w:val="19"/>
              </w:numPr>
              <w:spacing w:before="60" w:after="60" w:line="240" w:lineRule="auto"/>
              <w:ind w:left="616" w:hanging="283"/>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19"/>
              </w:numPr>
              <w:spacing w:before="60" w:after="60" w:line="240" w:lineRule="auto"/>
              <w:ind w:left="616" w:hanging="283"/>
              <w:contextualSpacing w:val="0"/>
              <w:jc w:val="both"/>
              <w:rPr>
                <w:rFonts w:ascii="Arial" w:hAnsi="Arial" w:cs="Arial"/>
                <w:sz w:val="18"/>
                <w:szCs w:val="18"/>
                <w:lang w:val="fr-BE"/>
              </w:rPr>
            </w:pPr>
            <w:r w:rsidRPr="000214A5">
              <w:rPr>
                <w:rFonts w:ascii="Arial" w:hAnsi="Arial" w:cs="Arial"/>
                <w:sz w:val="18"/>
                <w:szCs w:val="18"/>
                <w:lang w:val="fr-BE"/>
              </w:rPr>
              <w:t>examin</w:t>
            </w:r>
            <w:r>
              <w:rPr>
                <w:rFonts w:ascii="Arial" w:hAnsi="Arial" w:cs="Arial"/>
                <w:sz w:val="18"/>
                <w:szCs w:val="18"/>
                <w:lang w:val="fr-BE"/>
              </w:rPr>
              <w:t>ant</w:t>
            </w:r>
            <w:r w:rsidRPr="000214A5">
              <w:rPr>
                <w:rFonts w:ascii="Arial" w:hAnsi="Arial" w:cs="Arial"/>
                <w:sz w:val="18"/>
                <w:szCs w:val="18"/>
                <w:lang w:val="fr-BE"/>
              </w:rPr>
              <w:t xml:space="preserve"> les pièces justificatives.</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392" w:type="dxa"/>
          </w:tcPr>
          <w:p w:rsidR="000765A3" w:rsidRPr="000765A3" w:rsidRDefault="000765A3" w:rsidP="000214A5">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Vérifie</w:t>
            </w:r>
            <w:r>
              <w:rPr>
                <w:rFonts w:ascii="Arial" w:hAnsi="Arial" w:cs="Arial"/>
                <w:sz w:val="18"/>
                <w:szCs w:val="18"/>
                <w:lang w:val="fr-BE"/>
              </w:rPr>
              <w:t>r</w:t>
            </w:r>
            <w:r w:rsidRPr="000214A5">
              <w:rPr>
                <w:rFonts w:ascii="Arial" w:hAnsi="Arial" w:cs="Arial"/>
                <w:sz w:val="18"/>
                <w:szCs w:val="18"/>
                <w:lang w:val="fr-BE"/>
              </w:rPr>
              <w:t xml:space="preserve"> que les provisions ad</w:t>
            </w:r>
            <w:r>
              <w:rPr>
                <w:rFonts w:ascii="Arial" w:hAnsi="Arial" w:cs="Arial"/>
                <w:sz w:val="18"/>
                <w:szCs w:val="18"/>
                <w:lang w:val="fr-BE"/>
              </w:rPr>
              <w:t>équates de nature commerciale aien</w:t>
            </w:r>
            <w:r w:rsidRPr="000214A5">
              <w:rPr>
                <w:rFonts w:ascii="Arial" w:hAnsi="Arial" w:cs="Arial"/>
                <w:sz w:val="18"/>
                <w:szCs w:val="18"/>
                <w:lang w:val="fr-BE"/>
              </w:rPr>
              <w:t>t été comptabilisées  (i.e., garanties, remises, commissions, royalties, etc.)</w:t>
            </w:r>
            <w:r>
              <w:rPr>
                <w:rFonts w:ascii="Arial" w:hAnsi="Arial" w:cs="Arial"/>
                <w:sz w:val="18"/>
                <w:szCs w:val="18"/>
                <w:lang w:val="fr-BE"/>
              </w:rPr>
              <w: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92" w:type="dxa"/>
            <w:shd w:val="clear" w:color="auto" w:fill="D9D9D9" w:themeFill="background1" w:themeFillShade="D9"/>
          </w:tcPr>
          <w:p w:rsidR="000765A3" w:rsidRPr="00CC6A4F" w:rsidRDefault="000765A3" w:rsidP="000214A5">
            <w:pPr>
              <w:spacing w:before="60" w:after="60" w:line="240" w:lineRule="auto"/>
              <w:jc w:val="both"/>
              <w:rPr>
                <w:rFonts w:ascii="Arial" w:hAnsi="Arial" w:cs="Arial"/>
                <w:b/>
                <w:sz w:val="18"/>
                <w:szCs w:val="18"/>
                <w:lang w:val="fr-BE"/>
              </w:rPr>
            </w:pPr>
            <w:r w:rsidRPr="00CC6A4F">
              <w:rPr>
                <w:rFonts w:ascii="Arial" w:hAnsi="Arial" w:cs="Arial"/>
                <w:b/>
                <w:sz w:val="18"/>
                <w:szCs w:val="18"/>
                <w:lang w:val="fr-BE"/>
              </w:rPr>
              <w:t>11</w:t>
            </w:r>
            <w:r w:rsidR="00CC6A4F">
              <w:rPr>
                <w:rFonts w:ascii="Arial" w:hAnsi="Arial" w:cs="Arial"/>
                <w:b/>
                <w:sz w:val="18"/>
                <w:szCs w:val="18"/>
                <w:lang w:val="fr-BE"/>
              </w:rPr>
              <w:t>.</w:t>
            </w:r>
          </w:p>
        </w:tc>
        <w:tc>
          <w:tcPr>
            <w:tcW w:w="13332" w:type="dxa"/>
            <w:gridSpan w:val="8"/>
            <w:shd w:val="clear" w:color="auto" w:fill="D9D9D9" w:themeFill="background1" w:themeFillShade="D9"/>
          </w:tcPr>
          <w:p w:rsidR="000765A3" w:rsidRPr="000214A5" w:rsidRDefault="000765A3" w:rsidP="000214A5">
            <w:pPr>
              <w:spacing w:before="60" w:after="60" w:line="240" w:lineRule="auto"/>
              <w:jc w:val="both"/>
              <w:rPr>
                <w:rFonts w:ascii="Arial" w:hAnsi="Arial" w:cs="Arial"/>
                <w:b/>
                <w:sz w:val="18"/>
                <w:szCs w:val="18"/>
                <w:lang w:val="fr-BE"/>
              </w:rPr>
            </w:pPr>
            <w:r w:rsidRPr="000214A5">
              <w:rPr>
                <w:rFonts w:ascii="Arial" w:hAnsi="Arial" w:cs="Arial"/>
                <w:b/>
                <w:sz w:val="18"/>
                <w:szCs w:val="18"/>
                <w:lang w:val="fr-BE"/>
              </w:rPr>
              <w:t>Vérifier qu'il n'y a pas de dettes non enregistrées</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3"/>
        </w:trPr>
        <w:tc>
          <w:tcPr>
            <w:tcW w:w="392" w:type="dxa"/>
          </w:tcPr>
          <w:p w:rsidR="000765A3" w:rsidRPr="000765A3" w:rsidRDefault="000765A3" w:rsidP="004D016D">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4D016D">
            <w:pPr>
              <w:spacing w:before="60" w:after="60" w:line="240" w:lineRule="auto"/>
              <w:jc w:val="both"/>
              <w:rPr>
                <w:rFonts w:ascii="Arial" w:hAnsi="Arial" w:cs="Arial"/>
                <w:sz w:val="18"/>
                <w:szCs w:val="18"/>
                <w:lang w:val="fr-BE"/>
              </w:rPr>
            </w:pPr>
            <w:r>
              <w:rPr>
                <w:rFonts w:ascii="Arial" w:hAnsi="Arial" w:cs="Arial"/>
                <w:sz w:val="18"/>
                <w:szCs w:val="18"/>
                <w:lang w:val="fr-BE"/>
              </w:rPr>
              <w:t>E</w:t>
            </w:r>
            <w:r w:rsidRPr="000214A5">
              <w:rPr>
                <w:rFonts w:ascii="Arial" w:hAnsi="Arial" w:cs="Arial"/>
                <w:sz w:val="18"/>
                <w:szCs w:val="18"/>
                <w:lang w:val="fr-BE"/>
              </w:rPr>
              <w:t>ffectuer une recherche pour les dettes non enregistrées à la date de clôture en passant en revu</w:t>
            </w:r>
            <w:r>
              <w:rPr>
                <w:rFonts w:ascii="Arial" w:hAnsi="Arial" w:cs="Arial"/>
                <w:sz w:val="18"/>
                <w:szCs w:val="18"/>
                <w:lang w:val="fr-BE"/>
              </w:rPr>
              <w:t>e</w:t>
            </w:r>
            <w:r w:rsidRPr="000214A5">
              <w:rPr>
                <w:rFonts w:ascii="Arial" w:hAnsi="Arial" w:cs="Arial"/>
                <w:sz w:val="18"/>
                <w:szCs w:val="18"/>
                <w:lang w:val="fr-BE"/>
              </w:rPr>
              <w:t xml:space="preserve"> les éléments ouverts et les paiements subséquents et documenter cette recherche.</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2" w:type="dxa"/>
            <w:shd w:val="clear" w:color="auto" w:fill="D9D9D9" w:themeFill="background1" w:themeFillShade="D9"/>
          </w:tcPr>
          <w:p w:rsidR="000765A3" w:rsidRPr="00CC6A4F" w:rsidRDefault="000765A3" w:rsidP="000214A5">
            <w:pPr>
              <w:spacing w:before="60" w:after="60" w:line="240" w:lineRule="auto"/>
              <w:jc w:val="both"/>
              <w:rPr>
                <w:rFonts w:ascii="Arial" w:hAnsi="Arial" w:cs="Arial"/>
                <w:b/>
                <w:bCs/>
                <w:sz w:val="18"/>
                <w:szCs w:val="18"/>
                <w:lang w:val="fr-BE"/>
              </w:rPr>
            </w:pPr>
            <w:r w:rsidRPr="00CC6A4F">
              <w:rPr>
                <w:rFonts w:ascii="Arial" w:hAnsi="Arial" w:cs="Arial"/>
                <w:b/>
                <w:bCs/>
                <w:sz w:val="18"/>
                <w:szCs w:val="18"/>
                <w:lang w:val="fr-BE"/>
              </w:rPr>
              <w:t>12</w:t>
            </w:r>
            <w:r w:rsidR="00CC6A4F">
              <w:rPr>
                <w:rFonts w:ascii="Arial" w:hAnsi="Arial" w:cs="Arial"/>
                <w:b/>
                <w:bCs/>
                <w:sz w:val="18"/>
                <w:szCs w:val="18"/>
                <w:lang w:val="fr-BE"/>
              </w:rPr>
              <w:t>.</w:t>
            </w:r>
          </w:p>
        </w:tc>
        <w:tc>
          <w:tcPr>
            <w:tcW w:w="13332" w:type="dxa"/>
            <w:gridSpan w:val="8"/>
            <w:shd w:val="clear" w:color="auto" w:fill="D9D9D9" w:themeFill="background1" w:themeFillShade="D9"/>
          </w:tcPr>
          <w:p w:rsidR="000765A3" w:rsidRPr="000214A5" w:rsidRDefault="000765A3" w:rsidP="000214A5">
            <w:pPr>
              <w:spacing w:before="60" w:after="60" w:line="240" w:lineRule="auto"/>
              <w:jc w:val="both"/>
              <w:rPr>
                <w:rFonts w:ascii="Arial" w:hAnsi="Arial" w:cs="Arial"/>
                <w:b/>
                <w:bCs/>
                <w:sz w:val="18"/>
                <w:szCs w:val="18"/>
                <w:lang w:val="fr-BE"/>
              </w:rPr>
            </w:pPr>
            <w:r>
              <w:rPr>
                <w:rFonts w:ascii="Arial" w:hAnsi="Arial" w:cs="Arial"/>
                <w:b/>
                <w:bCs/>
                <w:sz w:val="18"/>
                <w:szCs w:val="18"/>
                <w:lang w:val="fr-BE"/>
              </w:rPr>
              <w:t>I</w:t>
            </w:r>
            <w:r w:rsidRPr="000214A5">
              <w:rPr>
                <w:rFonts w:ascii="Arial" w:hAnsi="Arial" w:cs="Arial"/>
                <w:b/>
                <w:bCs/>
                <w:sz w:val="18"/>
                <w:szCs w:val="18"/>
                <w:lang w:val="fr-BE"/>
              </w:rPr>
              <w:t>ntr</w:t>
            </w:r>
            <w:r>
              <w:rPr>
                <w:rFonts w:ascii="Arial" w:hAnsi="Arial" w:cs="Arial"/>
                <w:b/>
                <w:bCs/>
                <w:sz w:val="18"/>
                <w:szCs w:val="18"/>
                <w:lang w:val="fr-BE"/>
              </w:rPr>
              <w:t>a</w:t>
            </w:r>
            <w:r w:rsidRPr="000214A5">
              <w:rPr>
                <w:rFonts w:ascii="Arial" w:hAnsi="Arial" w:cs="Arial"/>
                <w:b/>
                <w:bCs/>
                <w:sz w:val="18"/>
                <w:szCs w:val="18"/>
                <w:lang w:val="fr-BE"/>
              </w:rPr>
              <w:t xml:space="preserve"> groupe</w:t>
            </w:r>
          </w:p>
        </w:tc>
      </w:tr>
      <w:tr w:rsidR="000765A3" w:rsidRPr="00F5457B" w:rsidTr="000765A3">
        <w:trPr>
          <w:trHeight w:val="1171"/>
        </w:trPr>
        <w:tc>
          <w:tcPr>
            <w:tcW w:w="392" w:type="dxa"/>
            <w:tcBorders>
              <w:top w:val="single" w:sz="4" w:space="0" w:color="auto"/>
              <w:left w:val="single" w:sz="4" w:space="0" w:color="auto"/>
              <w:bottom w:val="single" w:sz="4" w:space="0" w:color="auto"/>
              <w:right w:val="single" w:sz="4" w:space="0" w:color="auto"/>
            </w:tcBorders>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Borders>
              <w:top w:val="single" w:sz="4" w:space="0" w:color="auto"/>
              <w:left w:val="single" w:sz="4" w:space="0" w:color="auto"/>
              <w:bottom w:val="single" w:sz="4" w:space="0" w:color="auto"/>
              <w:right w:val="single" w:sz="4" w:space="0" w:color="auto"/>
            </w:tcBorders>
          </w:tcPr>
          <w:p w:rsidR="000765A3" w:rsidRPr="000214A5" w:rsidRDefault="000765A3" w:rsidP="00F957ED">
            <w:pPr>
              <w:pStyle w:val="ListParagraph"/>
              <w:numPr>
                <w:ilvl w:val="0"/>
                <w:numId w:val="31"/>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 xml:space="preserve">Documenter les transactions et les soldes de clôtures avec les </w:t>
            </w:r>
            <w:proofErr w:type="spellStart"/>
            <w:r w:rsidRPr="000214A5">
              <w:rPr>
                <w:rFonts w:ascii="Arial" w:hAnsi="Arial" w:cs="Arial"/>
                <w:sz w:val="18"/>
                <w:szCs w:val="18"/>
                <w:lang w:val="fr-BE"/>
              </w:rPr>
              <w:t>interco</w:t>
            </w:r>
            <w:r>
              <w:rPr>
                <w:rFonts w:ascii="Arial" w:hAnsi="Arial" w:cs="Arial"/>
                <w:sz w:val="18"/>
                <w:szCs w:val="18"/>
                <w:lang w:val="fr-BE"/>
              </w:rPr>
              <w:t>s</w:t>
            </w:r>
            <w:proofErr w:type="spellEnd"/>
            <w:r w:rsidRPr="000214A5">
              <w:rPr>
                <w:rFonts w:ascii="Arial" w:hAnsi="Arial" w:cs="Arial"/>
                <w:sz w:val="18"/>
                <w:szCs w:val="18"/>
                <w:lang w:val="fr-BE"/>
              </w:rPr>
              <w:t xml:space="preserve"> et les parties liées.</w:t>
            </w:r>
            <w:r>
              <w:rPr>
                <w:rFonts w:ascii="Arial" w:hAnsi="Arial" w:cs="Arial"/>
                <w:sz w:val="18"/>
                <w:szCs w:val="18"/>
                <w:lang w:val="fr-BE"/>
              </w:rPr>
              <w:t xml:space="preserve"> Examiner l'historique détaillé</w:t>
            </w:r>
            <w:r w:rsidRPr="000214A5">
              <w:rPr>
                <w:rFonts w:ascii="Arial" w:hAnsi="Arial" w:cs="Arial"/>
                <w:sz w:val="18"/>
                <w:szCs w:val="18"/>
                <w:lang w:val="fr-BE"/>
              </w:rPr>
              <w:t xml:space="preserve"> des dettes fournisseurs pour s'assurer</w:t>
            </w:r>
            <w:r>
              <w:rPr>
                <w:rFonts w:ascii="Arial" w:hAnsi="Arial" w:cs="Arial"/>
                <w:sz w:val="18"/>
                <w:szCs w:val="18"/>
                <w:lang w:val="fr-BE"/>
              </w:rPr>
              <w:t xml:space="preserve"> que toutes les parties liées aien</w:t>
            </w:r>
            <w:r w:rsidRPr="000214A5">
              <w:rPr>
                <w:rFonts w:ascii="Arial" w:hAnsi="Arial" w:cs="Arial"/>
                <w:sz w:val="18"/>
                <w:szCs w:val="18"/>
                <w:lang w:val="fr-BE"/>
              </w:rPr>
              <w:t>t été identifiées.</w:t>
            </w:r>
          </w:p>
        </w:tc>
        <w:tc>
          <w:tcPr>
            <w:tcW w:w="569"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X</w:t>
            </w:r>
          </w:p>
        </w:tc>
        <w:tc>
          <w:tcPr>
            <w:tcW w:w="992"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rPr>
          <w:trHeight w:val="480"/>
        </w:trPr>
        <w:tc>
          <w:tcPr>
            <w:tcW w:w="392" w:type="dxa"/>
            <w:tcBorders>
              <w:top w:val="single" w:sz="4" w:space="0" w:color="auto"/>
              <w:left w:val="single" w:sz="4" w:space="0" w:color="auto"/>
              <w:bottom w:val="single" w:sz="4" w:space="0" w:color="auto"/>
              <w:right w:val="single" w:sz="4" w:space="0" w:color="auto"/>
            </w:tcBorders>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Borders>
              <w:top w:val="single" w:sz="4" w:space="0" w:color="auto"/>
              <w:left w:val="single" w:sz="4" w:space="0" w:color="auto"/>
              <w:bottom w:val="single" w:sz="4" w:space="0" w:color="auto"/>
              <w:right w:val="single" w:sz="4" w:space="0" w:color="auto"/>
            </w:tcBorders>
          </w:tcPr>
          <w:p w:rsidR="000765A3" w:rsidRPr="000214A5" w:rsidRDefault="000765A3" w:rsidP="00F957ED">
            <w:pPr>
              <w:pStyle w:val="ListParagraph"/>
              <w:numPr>
                <w:ilvl w:val="0"/>
                <w:numId w:val="31"/>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 xml:space="preserve">Contrôler la réconciliation </w:t>
            </w:r>
            <w:proofErr w:type="spellStart"/>
            <w:r w:rsidRPr="000214A5">
              <w:rPr>
                <w:rFonts w:ascii="Arial" w:hAnsi="Arial" w:cs="Arial"/>
                <w:sz w:val="18"/>
                <w:szCs w:val="18"/>
                <w:lang w:val="fr-BE"/>
              </w:rPr>
              <w:t>intercos</w:t>
            </w:r>
            <w:proofErr w:type="spellEnd"/>
            <w:r w:rsidRPr="000214A5">
              <w:rPr>
                <w:rFonts w:ascii="Arial" w:hAnsi="Arial" w:cs="Arial"/>
                <w:sz w:val="18"/>
                <w:szCs w:val="18"/>
                <w:lang w:val="fr-BE"/>
              </w:rPr>
              <w:t>.</w:t>
            </w:r>
          </w:p>
        </w:tc>
        <w:tc>
          <w:tcPr>
            <w:tcW w:w="569"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A91AF9" w:rsidTr="000765A3">
        <w:trPr>
          <w:trHeight w:val="1636"/>
        </w:trPr>
        <w:tc>
          <w:tcPr>
            <w:tcW w:w="392" w:type="dxa"/>
            <w:tcBorders>
              <w:top w:val="single" w:sz="4" w:space="0" w:color="auto"/>
              <w:left w:val="single" w:sz="4" w:space="0" w:color="auto"/>
              <w:bottom w:val="single" w:sz="4" w:space="0" w:color="auto"/>
              <w:right w:val="single" w:sz="4" w:space="0" w:color="auto"/>
            </w:tcBorders>
            <w:shd w:val="clear" w:color="auto" w:fill="CCFFFF"/>
          </w:tcPr>
          <w:p w:rsidR="000765A3" w:rsidRPr="000765A3" w:rsidRDefault="000765A3" w:rsidP="00776B5E">
            <w:pPr>
              <w:spacing w:before="60" w:after="60" w:line="240" w:lineRule="auto"/>
              <w:jc w:val="center"/>
              <w:rPr>
                <w:rFonts w:ascii="Garamond" w:hAnsi="Garamond"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0765A3" w:rsidRPr="00A91AF9" w:rsidRDefault="000765A3" w:rsidP="00776B5E">
            <w:pPr>
              <w:spacing w:before="60" w:after="60" w:line="240" w:lineRule="auto"/>
              <w:jc w:val="center"/>
              <w:rPr>
                <w:rFonts w:ascii="Arial" w:hAnsi="Arial" w:cs="Arial"/>
                <w:b/>
                <w:bCs/>
                <w:sz w:val="18"/>
                <w:szCs w:val="18"/>
                <w:lang w:val="fr-BE"/>
              </w:rPr>
            </w:pPr>
          </w:p>
          <w:p w:rsidR="000765A3" w:rsidRPr="00A91AF9" w:rsidRDefault="000765A3" w:rsidP="00776B5E">
            <w:pPr>
              <w:spacing w:before="60" w:after="60" w:line="240" w:lineRule="auto"/>
              <w:jc w:val="center"/>
              <w:rPr>
                <w:rFonts w:ascii="Arial" w:hAnsi="Arial" w:cs="Arial"/>
                <w:b/>
                <w:bCs/>
                <w:sz w:val="18"/>
                <w:szCs w:val="18"/>
                <w:lang w:val="fr-BE"/>
              </w:rPr>
            </w:pPr>
          </w:p>
          <w:p w:rsidR="000765A3" w:rsidRPr="00A91AF9" w:rsidRDefault="000765A3" w:rsidP="00776B5E">
            <w:pPr>
              <w:spacing w:before="60" w:after="60" w:line="240" w:lineRule="auto"/>
              <w:jc w:val="center"/>
              <w:rPr>
                <w:rFonts w:ascii="Arial" w:hAnsi="Arial" w:cs="Arial"/>
                <w:b/>
                <w:bCs/>
                <w:sz w:val="18"/>
                <w:szCs w:val="18"/>
                <w:lang w:val="fr-BE"/>
              </w:rPr>
            </w:pPr>
            <w:r w:rsidRPr="00A91AF9">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A91AF9">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A91AF9">
              <w:rPr>
                <w:rFonts w:ascii="Arial" w:hAnsi="Arial" w:cs="Arial"/>
                <w:b/>
                <w:sz w:val="18"/>
                <w:szCs w:val="18"/>
                <w:lang w:val="fr-BE"/>
              </w:rPr>
              <w:t>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A91AF9">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A91AF9">
              <w:rPr>
                <w:rFonts w:ascii="Arial" w:hAnsi="Arial" w:cs="Arial"/>
                <w:b/>
                <w:sz w:val="18"/>
                <w:szCs w:val="18"/>
                <w:lang w:val="fr-BE"/>
              </w:rPr>
              <w:t>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0765A3" w:rsidRPr="00A91AF9" w:rsidRDefault="000765A3" w:rsidP="00776B5E">
            <w:pPr>
              <w:spacing w:before="60" w:after="60" w:line="240" w:lineRule="auto"/>
              <w:jc w:val="center"/>
              <w:rPr>
                <w:rFonts w:ascii="Arial" w:hAnsi="Arial" w:cs="Arial"/>
                <w:b/>
                <w:sz w:val="18"/>
                <w:szCs w:val="18"/>
                <w:lang w:val="fr-BE"/>
              </w:rPr>
            </w:pPr>
          </w:p>
          <w:p w:rsidR="000765A3" w:rsidRPr="00A91AF9" w:rsidRDefault="000765A3" w:rsidP="00776B5E">
            <w:pPr>
              <w:spacing w:before="60" w:after="60" w:line="240" w:lineRule="auto"/>
              <w:jc w:val="center"/>
              <w:rPr>
                <w:rFonts w:ascii="Arial" w:hAnsi="Arial" w:cs="Arial"/>
                <w:b/>
                <w:sz w:val="18"/>
                <w:szCs w:val="18"/>
                <w:lang w:val="fr-BE"/>
              </w:rPr>
            </w:pPr>
          </w:p>
          <w:p w:rsidR="000765A3" w:rsidRPr="00A91AF9" w:rsidRDefault="000765A3" w:rsidP="00776B5E">
            <w:pPr>
              <w:spacing w:before="60" w:after="60" w:line="240" w:lineRule="auto"/>
              <w:jc w:val="center"/>
              <w:rPr>
                <w:rFonts w:ascii="Arial" w:hAnsi="Arial" w:cs="Arial"/>
                <w:b/>
                <w:sz w:val="18"/>
                <w:szCs w:val="18"/>
                <w:lang w:val="fr-BE"/>
              </w:rPr>
            </w:pPr>
            <w:r w:rsidRPr="00A91AF9">
              <w:rPr>
                <w:rFonts w:ascii="Arial" w:hAnsi="Arial" w:cs="Arial"/>
                <w:b/>
                <w:sz w:val="18"/>
                <w:szCs w:val="18"/>
                <w:lang w:val="fr-BE"/>
              </w:rPr>
              <w:t>Commentaires</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392" w:type="dxa"/>
            <w:tcBorders>
              <w:top w:val="single" w:sz="4" w:space="0" w:color="auto"/>
            </w:tcBorders>
            <w:shd w:val="clear" w:color="auto" w:fill="D9D9D9" w:themeFill="background1" w:themeFillShade="D9"/>
          </w:tcPr>
          <w:p w:rsidR="000765A3" w:rsidRPr="00CC6A4F" w:rsidRDefault="000765A3" w:rsidP="000214A5">
            <w:pPr>
              <w:spacing w:before="60" w:after="60" w:line="240" w:lineRule="auto"/>
              <w:jc w:val="both"/>
              <w:rPr>
                <w:rFonts w:ascii="Arial" w:hAnsi="Arial" w:cs="Arial"/>
                <w:b/>
                <w:sz w:val="18"/>
                <w:szCs w:val="18"/>
                <w:lang w:val="fr-BE"/>
              </w:rPr>
            </w:pPr>
            <w:r w:rsidRPr="00CC6A4F">
              <w:rPr>
                <w:rFonts w:ascii="Arial" w:hAnsi="Arial" w:cs="Arial"/>
                <w:b/>
                <w:sz w:val="18"/>
                <w:szCs w:val="18"/>
                <w:lang w:val="fr-BE"/>
              </w:rPr>
              <w:t>13</w:t>
            </w:r>
            <w:r w:rsidR="00CC6A4F">
              <w:rPr>
                <w:rFonts w:ascii="Arial" w:hAnsi="Arial" w:cs="Arial"/>
                <w:b/>
                <w:sz w:val="18"/>
                <w:szCs w:val="18"/>
                <w:lang w:val="fr-BE"/>
              </w:rPr>
              <w:t>.</w:t>
            </w:r>
          </w:p>
        </w:tc>
        <w:tc>
          <w:tcPr>
            <w:tcW w:w="13332" w:type="dxa"/>
            <w:gridSpan w:val="8"/>
            <w:tcBorders>
              <w:top w:val="single" w:sz="4" w:space="0" w:color="auto"/>
            </w:tcBorders>
            <w:shd w:val="clear" w:color="auto" w:fill="D9D9D9" w:themeFill="background1" w:themeFillShade="D9"/>
          </w:tcPr>
          <w:p w:rsidR="000765A3" w:rsidRPr="000214A5" w:rsidRDefault="000765A3" w:rsidP="000214A5">
            <w:pPr>
              <w:spacing w:before="60" w:after="60" w:line="240" w:lineRule="auto"/>
              <w:jc w:val="both"/>
              <w:rPr>
                <w:rFonts w:ascii="Arial" w:hAnsi="Arial" w:cs="Arial"/>
                <w:b/>
                <w:sz w:val="18"/>
                <w:szCs w:val="18"/>
                <w:lang w:val="fr-BE"/>
              </w:rPr>
            </w:pPr>
            <w:r>
              <w:rPr>
                <w:rFonts w:ascii="Arial" w:hAnsi="Arial" w:cs="Arial"/>
                <w:b/>
                <w:sz w:val="18"/>
                <w:szCs w:val="18"/>
                <w:lang w:val="fr-BE"/>
              </w:rPr>
              <w:t>C</w:t>
            </w:r>
            <w:r w:rsidRPr="000214A5">
              <w:rPr>
                <w:rFonts w:ascii="Arial" w:hAnsi="Arial" w:cs="Arial"/>
                <w:b/>
                <w:sz w:val="18"/>
                <w:szCs w:val="18"/>
                <w:lang w:val="fr-BE"/>
              </w:rPr>
              <w:t>onversion de devises</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trPr>
        <w:tc>
          <w:tcPr>
            <w:tcW w:w="392" w:type="dxa"/>
          </w:tcPr>
          <w:p w:rsidR="000765A3" w:rsidRPr="000765A3" w:rsidRDefault="000765A3" w:rsidP="000214A5">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0214A5">
            <w:pPr>
              <w:spacing w:before="60" w:after="60" w:line="240" w:lineRule="auto"/>
              <w:jc w:val="both"/>
              <w:rPr>
                <w:rFonts w:ascii="Arial" w:hAnsi="Arial" w:cs="Arial"/>
                <w:b/>
                <w:bCs/>
                <w:sz w:val="18"/>
                <w:szCs w:val="18"/>
                <w:lang w:val="fr-BE"/>
              </w:rPr>
            </w:pPr>
            <w:r w:rsidRPr="000214A5">
              <w:rPr>
                <w:rFonts w:ascii="Arial" w:hAnsi="Arial" w:cs="Arial"/>
                <w:sz w:val="18"/>
                <w:szCs w:val="18"/>
                <w:lang w:val="fr-BE"/>
              </w:rPr>
              <w:t>S'assurer que tous les soldes des comptes so</w:t>
            </w:r>
            <w:r>
              <w:rPr>
                <w:rFonts w:ascii="Arial" w:hAnsi="Arial" w:cs="Arial"/>
                <w:sz w:val="18"/>
                <w:szCs w:val="18"/>
                <w:lang w:val="fr-BE"/>
              </w:rPr>
              <w:t>ie</w:t>
            </w:r>
            <w:r w:rsidRPr="000214A5">
              <w:rPr>
                <w:rFonts w:ascii="Arial" w:hAnsi="Arial" w:cs="Arial"/>
                <w:sz w:val="18"/>
                <w:szCs w:val="18"/>
                <w:lang w:val="fr-BE"/>
              </w:rPr>
              <w:t xml:space="preserve">nt convertis au taux de change fin de période et </w:t>
            </w:r>
            <w:r>
              <w:rPr>
                <w:rFonts w:ascii="Arial" w:hAnsi="Arial" w:cs="Arial"/>
                <w:sz w:val="18"/>
                <w:szCs w:val="18"/>
                <w:lang w:val="fr-BE"/>
              </w:rPr>
              <w:t xml:space="preserve">que </w:t>
            </w:r>
            <w:r w:rsidRPr="000214A5">
              <w:rPr>
                <w:rFonts w:ascii="Arial" w:hAnsi="Arial" w:cs="Arial"/>
                <w:sz w:val="18"/>
                <w:szCs w:val="18"/>
                <w:lang w:val="fr-BE"/>
              </w:rPr>
              <w:t>la conversion est en accord avec les règles d'évaluation.</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2" w:type="dxa"/>
            <w:shd w:val="clear" w:color="auto" w:fill="D9D9D9" w:themeFill="background1" w:themeFillShade="D9"/>
          </w:tcPr>
          <w:p w:rsidR="000765A3" w:rsidRPr="00CC6A4F" w:rsidRDefault="000765A3" w:rsidP="000214A5">
            <w:pPr>
              <w:spacing w:before="60" w:after="60" w:line="240" w:lineRule="auto"/>
              <w:jc w:val="both"/>
              <w:rPr>
                <w:rFonts w:ascii="Arial" w:hAnsi="Arial" w:cs="Arial"/>
                <w:b/>
                <w:bCs/>
                <w:sz w:val="18"/>
                <w:szCs w:val="18"/>
                <w:lang w:val="fr-BE"/>
              </w:rPr>
            </w:pPr>
            <w:r w:rsidRPr="00CC6A4F">
              <w:rPr>
                <w:rFonts w:ascii="Arial" w:hAnsi="Arial" w:cs="Arial"/>
                <w:b/>
                <w:bCs/>
                <w:sz w:val="18"/>
                <w:szCs w:val="18"/>
                <w:lang w:val="fr-BE"/>
              </w:rPr>
              <w:t>14</w:t>
            </w:r>
            <w:r w:rsidR="00CC6A4F">
              <w:rPr>
                <w:rFonts w:ascii="Arial" w:hAnsi="Arial" w:cs="Arial"/>
                <w:b/>
                <w:bCs/>
                <w:sz w:val="18"/>
                <w:szCs w:val="18"/>
                <w:lang w:val="fr-BE"/>
              </w:rPr>
              <w:t>.</w:t>
            </w:r>
          </w:p>
        </w:tc>
        <w:tc>
          <w:tcPr>
            <w:tcW w:w="13332" w:type="dxa"/>
            <w:gridSpan w:val="8"/>
            <w:shd w:val="clear" w:color="auto" w:fill="D9D9D9" w:themeFill="background1" w:themeFillShade="D9"/>
          </w:tcPr>
          <w:p w:rsidR="000765A3" w:rsidRPr="000214A5" w:rsidRDefault="000765A3" w:rsidP="000214A5">
            <w:pPr>
              <w:spacing w:before="60" w:after="60" w:line="240" w:lineRule="auto"/>
              <w:jc w:val="both"/>
              <w:rPr>
                <w:rFonts w:ascii="Arial" w:hAnsi="Arial" w:cs="Arial"/>
                <w:b/>
                <w:bCs/>
                <w:sz w:val="18"/>
                <w:szCs w:val="18"/>
                <w:lang w:val="fr-BE"/>
              </w:rPr>
            </w:pPr>
            <w:r w:rsidRPr="000214A5">
              <w:rPr>
                <w:rFonts w:ascii="Arial" w:hAnsi="Arial" w:cs="Arial"/>
                <w:b/>
                <w:bCs/>
                <w:sz w:val="18"/>
                <w:szCs w:val="18"/>
                <w:lang w:val="fr-BE"/>
              </w:rPr>
              <w:t>Passifs latents</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3"/>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F957ED">
            <w:pPr>
              <w:pStyle w:val="ListParagraph"/>
              <w:numPr>
                <w:ilvl w:val="0"/>
                <w:numId w:val="32"/>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 xml:space="preserve">Obtenir une liste des engagements connus et possibles, </w:t>
            </w:r>
            <w:r>
              <w:rPr>
                <w:rFonts w:ascii="Arial" w:hAnsi="Arial" w:cs="Arial"/>
                <w:sz w:val="18"/>
                <w:szCs w:val="18"/>
                <w:lang w:val="fr-BE"/>
              </w:rPr>
              <w:t>d</w:t>
            </w:r>
            <w:r w:rsidRPr="000214A5">
              <w:rPr>
                <w:rFonts w:ascii="Arial" w:hAnsi="Arial" w:cs="Arial"/>
                <w:sz w:val="18"/>
                <w:szCs w:val="18"/>
                <w:lang w:val="fr-BE"/>
              </w:rPr>
              <w:t xml:space="preserve">es passifs latents et </w:t>
            </w:r>
            <w:r>
              <w:rPr>
                <w:rFonts w:ascii="Arial" w:hAnsi="Arial" w:cs="Arial"/>
                <w:sz w:val="18"/>
                <w:szCs w:val="18"/>
                <w:lang w:val="fr-BE"/>
              </w:rPr>
              <w:t>d</w:t>
            </w:r>
            <w:r w:rsidRPr="000214A5">
              <w:rPr>
                <w:rFonts w:ascii="Arial" w:hAnsi="Arial" w:cs="Arial"/>
                <w:sz w:val="18"/>
                <w:szCs w:val="18"/>
                <w:lang w:val="fr-BE"/>
              </w:rPr>
              <w:t>es év</w:t>
            </w:r>
            <w:r>
              <w:rPr>
                <w:rFonts w:ascii="Arial" w:hAnsi="Arial" w:cs="Arial"/>
                <w:sz w:val="18"/>
                <w:szCs w:val="18"/>
                <w:lang w:val="fr-BE"/>
              </w:rPr>
              <w:t>é</w:t>
            </w:r>
            <w:r w:rsidRPr="000214A5">
              <w:rPr>
                <w:rFonts w:ascii="Arial" w:hAnsi="Arial" w:cs="Arial"/>
                <w:sz w:val="18"/>
                <w:szCs w:val="18"/>
                <w:lang w:val="fr-BE"/>
              </w:rPr>
              <w:t>nements subséquents significatifs. Demander au management si cette liste est complète.</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p w:rsidR="000765A3" w:rsidRPr="000214A5" w:rsidRDefault="000765A3" w:rsidP="000214A5">
            <w:pPr>
              <w:spacing w:before="60" w:after="60" w:line="240" w:lineRule="auto"/>
              <w:jc w:val="both"/>
              <w:rPr>
                <w:rFonts w:ascii="Arial" w:hAnsi="Arial" w:cs="Arial"/>
                <w:sz w:val="18"/>
                <w:szCs w:val="18"/>
                <w:lang w:val="fr-BE"/>
              </w:rPr>
            </w:pP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p w:rsidR="000765A3" w:rsidRPr="000214A5" w:rsidRDefault="000765A3" w:rsidP="000214A5">
            <w:pPr>
              <w:spacing w:before="60" w:after="60" w:line="240" w:lineRule="auto"/>
              <w:jc w:val="both"/>
              <w:rPr>
                <w:rFonts w:ascii="Arial" w:hAnsi="Arial" w:cs="Arial"/>
                <w:sz w:val="18"/>
                <w:szCs w:val="18"/>
                <w:lang w:val="fr-BE"/>
              </w:rPr>
            </w:pP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2" w:type="dxa"/>
          </w:tcPr>
          <w:p w:rsidR="000765A3" w:rsidRPr="000765A3" w:rsidRDefault="000765A3" w:rsidP="000765A3">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F957ED">
            <w:pPr>
              <w:pStyle w:val="ListParagraph"/>
              <w:numPr>
                <w:ilvl w:val="0"/>
                <w:numId w:val="32"/>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Obligations et dettes latentes</w:t>
            </w:r>
            <w:r>
              <w:rPr>
                <w:rFonts w:ascii="Arial" w:hAnsi="Arial" w:cs="Arial"/>
                <w:sz w:val="18"/>
                <w:szCs w:val="18"/>
                <w:lang w:val="fr-BE"/>
              </w:rPr>
              <w:t xml:space="preserve"> </w:t>
            </w:r>
            <w:r w:rsidRPr="000214A5">
              <w:rPr>
                <w:rFonts w:ascii="Arial" w:hAnsi="Arial" w:cs="Arial"/>
                <w:sz w:val="18"/>
                <w:szCs w:val="18"/>
                <w:lang w:val="fr-BE"/>
              </w:rPr>
              <w: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4"/>
        </w:trPr>
        <w:tc>
          <w:tcPr>
            <w:tcW w:w="392" w:type="dxa"/>
          </w:tcPr>
          <w:p w:rsidR="000765A3" w:rsidRPr="000765A3" w:rsidRDefault="000765A3" w:rsidP="000214A5">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Considérer les questions suivantes pour</w:t>
            </w:r>
            <w:r>
              <w:rPr>
                <w:rFonts w:ascii="Arial" w:hAnsi="Arial" w:cs="Arial"/>
                <w:sz w:val="18"/>
                <w:szCs w:val="18"/>
                <w:lang w:val="fr-BE"/>
              </w:rPr>
              <w:t xml:space="preserve"> </w:t>
            </w:r>
            <w:r w:rsidRPr="000214A5">
              <w:rPr>
                <w:rFonts w:ascii="Arial" w:hAnsi="Arial" w:cs="Arial"/>
                <w:sz w:val="18"/>
                <w:szCs w:val="18"/>
                <w:lang w:val="fr-BE"/>
              </w:rPr>
              <w:t>la recherche d'obligations dont l'échéance, le montant et le passif latent sont incertains</w:t>
            </w:r>
            <w:r>
              <w:rPr>
                <w:rFonts w:ascii="Arial" w:hAnsi="Arial" w:cs="Arial"/>
                <w:sz w:val="18"/>
                <w:szCs w:val="18"/>
                <w:lang w:val="fr-BE"/>
              </w:rPr>
              <w:t xml:space="preserve"> </w:t>
            </w:r>
            <w:r w:rsidRPr="000214A5">
              <w:rPr>
                <w:rFonts w:ascii="Arial" w:hAnsi="Arial" w:cs="Arial"/>
                <w:sz w:val="18"/>
                <w:szCs w:val="18"/>
                <w:lang w:val="fr-BE"/>
              </w:rPr>
              <w: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2" w:type="dxa"/>
          </w:tcPr>
          <w:p w:rsidR="000765A3" w:rsidRPr="000765A3" w:rsidRDefault="000765A3" w:rsidP="000765A3">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8855CC">
            <w:pPr>
              <w:pStyle w:val="ListParagraph"/>
              <w:numPr>
                <w:ilvl w:val="0"/>
                <w:numId w:val="22"/>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 xml:space="preserve">litiges pas encore </w:t>
            </w:r>
            <w:r>
              <w:rPr>
                <w:rFonts w:ascii="Arial" w:hAnsi="Arial" w:cs="Arial"/>
                <w:sz w:val="18"/>
                <w:szCs w:val="18"/>
                <w:lang w:val="fr-BE"/>
              </w:rPr>
              <w:t>assignés auprès d’un avocat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2" w:type="dxa"/>
          </w:tcPr>
          <w:p w:rsidR="000765A3" w:rsidRPr="000765A3" w:rsidRDefault="000765A3" w:rsidP="000765A3">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2"/>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impôts des sociétés ou TVA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2"/>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v</w:t>
            </w:r>
            <w:r>
              <w:rPr>
                <w:rFonts w:ascii="Arial" w:hAnsi="Arial" w:cs="Arial"/>
                <w:sz w:val="18"/>
                <w:szCs w:val="18"/>
                <w:lang w:val="fr-BE"/>
              </w:rPr>
              <w:t>entes sujettes à renégociations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8855CC">
            <w:pPr>
              <w:pStyle w:val="ListParagraph"/>
              <w:numPr>
                <w:ilvl w:val="0"/>
                <w:numId w:val="22"/>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créances réduites avec recours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2"/>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aval</w:t>
            </w:r>
            <w:r>
              <w:rPr>
                <w:rFonts w:ascii="Arial" w:hAnsi="Arial" w:cs="Arial"/>
                <w:sz w:val="18"/>
                <w:szCs w:val="18"/>
                <w:lang w:val="fr-BE"/>
              </w:rPr>
              <w:t>s et garanties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2"/>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 xml:space="preserve">remboursement des dettes </w:t>
            </w:r>
            <w:r>
              <w:rPr>
                <w:rFonts w:ascii="Arial" w:hAnsi="Arial" w:cs="Arial"/>
                <w:sz w:val="18"/>
                <w:szCs w:val="18"/>
                <w:lang w:val="fr-BE"/>
              </w:rPr>
              <w:t>publiques ; et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rPr>
          <w:trHeight w:val="240"/>
        </w:trPr>
        <w:tc>
          <w:tcPr>
            <w:tcW w:w="392" w:type="dxa"/>
            <w:tcBorders>
              <w:top w:val="single" w:sz="4" w:space="0" w:color="auto"/>
              <w:left w:val="single" w:sz="4" w:space="0" w:color="auto"/>
              <w:bottom w:val="single" w:sz="4" w:space="0" w:color="auto"/>
              <w:right w:val="single" w:sz="4" w:space="0" w:color="auto"/>
            </w:tcBorders>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Borders>
              <w:top w:val="single" w:sz="4" w:space="0" w:color="auto"/>
              <w:left w:val="single" w:sz="4" w:space="0" w:color="auto"/>
              <w:bottom w:val="single" w:sz="4" w:space="0" w:color="auto"/>
              <w:right w:val="single" w:sz="4" w:space="0" w:color="auto"/>
            </w:tcBorders>
          </w:tcPr>
          <w:p w:rsidR="000765A3" w:rsidRPr="000214A5" w:rsidRDefault="000765A3" w:rsidP="000214A5">
            <w:pPr>
              <w:pStyle w:val="ListParagraph"/>
              <w:numPr>
                <w:ilvl w:val="0"/>
                <w:numId w:val="22"/>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dettes environnementales.</w:t>
            </w:r>
          </w:p>
        </w:tc>
        <w:tc>
          <w:tcPr>
            <w:tcW w:w="569"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left w:val="single" w:sz="4" w:space="0" w:color="auto"/>
              <w:bottom w:val="single" w:sz="4" w:space="0" w:color="auto"/>
              <w:right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A91AF9" w:rsidTr="000765A3">
        <w:trPr>
          <w:trHeight w:val="1636"/>
        </w:trPr>
        <w:tc>
          <w:tcPr>
            <w:tcW w:w="392" w:type="dxa"/>
            <w:tcBorders>
              <w:top w:val="single" w:sz="4" w:space="0" w:color="auto"/>
              <w:left w:val="single" w:sz="4" w:space="0" w:color="auto"/>
              <w:bottom w:val="single" w:sz="4" w:space="0" w:color="auto"/>
              <w:right w:val="single" w:sz="4" w:space="0" w:color="auto"/>
            </w:tcBorders>
            <w:shd w:val="clear" w:color="auto" w:fill="CCFFFF"/>
          </w:tcPr>
          <w:p w:rsidR="000765A3" w:rsidRPr="000765A3" w:rsidRDefault="000765A3" w:rsidP="00776B5E">
            <w:pPr>
              <w:spacing w:before="60" w:after="60" w:line="240" w:lineRule="auto"/>
              <w:jc w:val="center"/>
              <w:rPr>
                <w:rFonts w:ascii="Garamond" w:hAnsi="Garamond"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0765A3" w:rsidRPr="00A91AF9" w:rsidRDefault="000765A3" w:rsidP="00776B5E">
            <w:pPr>
              <w:spacing w:before="60" w:after="60" w:line="240" w:lineRule="auto"/>
              <w:jc w:val="center"/>
              <w:rPr>
                <w:rFonts w:ascii="Arial" w:hAnsi="Arial" w:cs="Arial"/>
                <w:b/>
                <w:bCs/>
                <w:sz w:val="18"/>
                <w:szCs w:val="18"/>
                <w:lang w:val="fr-BE"/>
              </w:rPr>
            </w:pPr>
          </w:p>
          <w:p w:rsidR="000765A3" w:rsidRPr="00A91AF9" w:rsidRDefault="000765A3" w:rsidP="00776B5E">
            <w:pPr>
              <w:spacing w:before="60" w:after="60" w:line="240" w:lineRule="auto"/>
              <w:jc w:val="center"/>
              <w:rPr>
                <w:rFonts w:ascii="Arial" w:hAnsi="Arial" w:cs="Arial"/>
                <w:b/>
                <w:bCs/>
                <w:sz w:val="18"/>
                <w:szCs w:val="18"/>
                <w:lang w:val="fr-BE"/>
              </w:rPr>
            </w:pPr>
          </w:p>
          <w:p w:rsidR="000765A3" w:rsidRPr="00A91AF9" w:rsidRDefault="000765A3" w:rsidP="00776B5E">
            <w:pPr>
              <w:spacing w:before="60" w:after="60" w:line="240" w:lineRule="auto"/>
              <w:jc w:val="center"/>
              <w:rPr>
                <w:rFonts w:ascii="Arial" w:hAnsi="Arial" w:cs="Arial"/>
                <w:b/>
                <w:bCs/>
                <w:sz w:val="18"/>
                <w:szCs w:val="18"/>
                <w:lang w:val="fr-BE"/>
              </w:rPr>
            </w:pPr>
            <w:r w:rsidRPr="00A91AF9">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A91AF9">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A91AF9">
              <w:rPr>
                <w:rFonts w:ascii="Arial" w:hAnsi="Arial" w:cs="Arial"/>
                <w:b/>
                <w:sz w:val="18"/>
                <w:szCs w:val="18"/>
                <w:lang w:val="fr-BE"/>
              </w:rPr>
              <w:t>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A91AF9">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F366C8">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A91AF9">
              <w:rPr>
                <w:rFonts w:ascii="Arial" w:hAnsi="Arial" w:cs="Arial"/>
                <w:b/>
                <w:sz w:val="18"/>
                <w:szCs w:val="18"/>
                <w:lang w:val="fr-BE"/>
              </w:rPr>
              <w:t>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A91AF9" w:rsidRDefault="000765A3" w:rsidP="00776B5E">
            <w:pPr>
              <w:spacing w:before="60" w:after="60" w:line="240" w:lineRule="auto"/>
              <w:ind w:left="113" w:right="113"/>
              <w:jc w:val="center"/>
              <w:rPr>
                <w:rFonts w:ascii="Arial" w:hAnsi="Arial" w:cs="Arial"/>
                <w:b/>
                <w:sz w:val="18"/>
                <w:szCs w:val="18"/>
                <w:lang w:val="fr-BE"/>
              </w:rPr>
            </w:pPr>
            <w:r w:rsidRPr="00A91AF9">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0765A3" w:rsidRPr="00A91AF9" w:rsidRDefault="000765A3" w:rsidP="00776B5E">
            <w:pPr>
              <w:spacing w:before="60" w:after="60" w:line="240" w:lineRule="auto"/>
              <w:jc w:val="center"/>
              <w:rPr>
                <w:rFonts w:ascii="Arial" w:hAnsi="Arial" w:cs="Arial"/>
                <w:b/>
                <w:sz w:val="18"/>
                <w:szCs w:val="18"/>
                <w:lang w:val="fr-BE"/>
              </w:rPr>
            </w:pPr>
          </w:p>
          <w:p w:rsidR="000765A3" w:rsidRPr="00A91AF9" w:rsidRDefault="000765A3" w:rsidP="00776B5E">
            <w:pPr>
              <w:spacing w:before="60" w:after="60" w:line="240" w:lineRule="auto"/>
              <w:jc w:val="center"/>
              <w:rPr>
                <w:rFonts w:ascii="Arial" w:hAnsi="Arial" w:cs="Arial"/>
                <w:b/>
                <w:sz w:val="18"/>
                <w:szCs w:val="18"/>
                <w:lang w:val="fr-BE"/>
              </w:rPr>
            </w:pPr>
          </w:p>
          <w:p w:rsidR="000765A3" w:rsidRPr="00A91AF9" w:rsidRDefault="000765A3" w:rsidP="00776B5E">
            <w:pPr>
              <w:spacing w:before="60" w:after="60" w:line="240" w:lineRule="auto"/>
              <w:jc w:val="center"/>
              <w:rPr>
                <w:rFonts w:ascii="Arial" w:hAnsi="Arial" w:cs="Arial"/>
                <w:b/>
                <w:sz w:val="18"/>
                <w:szCs w:val="18"/>
                <w:lang w:val="fr-BE"/>
              </w:rPr>
            </w:pPr>
            <w:r w:rsidRPr="00A91AF9">
              <w:rPr>
                <w:rFonts w:ascii="Arial" w:hAnsi="Arial" w:cs="Arial"/>
                <w:b/>
                <w:sz w:val="18"/>
                <w:szCs w:val="18"/>
                <w:lang w:val="fr-BE"/>
              </w:rPr>
              <w:t>Commentaires</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392" w:type="dxa"/>
            <w:tcBorders>
              <w:top w:val="single" w:sz="4" w:space="0" w:color="auto"/>
            </w:tcBorders>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Borders>
              <w:top w:val="single" w:sz="4" w:space="0" w:color="auto"/>
            </w:tcBorders>
          </w:tcPr>
          <w:p w:rsidR="000765A3" w:rsidRPr="000214A5" w:rsidRDefault="000765A3" w:rsidP="00C47667">
            <w:pPr>
              <w:pStyle w:val="ListParagraph"/>
              <w:numPr>
                <w:ilvl w:val="0"/>
                <w:numId w:val="33"/>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Lettres d'avocats</w:t>
            </w:r>
            <w:r>
              <w:rPr>
                <w:rFonts w:ascii="Arial" w:hAnsi="Arial" w:cs="Arial"/>
                <w:sz w:val="18"/>
                <w:szCs w:val="18"/>
                <w:lang w:val="fr-BE"/>
              </w:rPr>
              <w:t xml:space="preserve"> </w:t>
            </w:r>
            <w:r w:rsidRPr="000214A5">
              <w:rPr>
                <w:rFonts w:ascii="Arial" w:hAnsi="Arial" w:cs="Arial"/>
                <w:sz w:val="18"/>
                <w:szCs w:val="18"/>
                <w:lang w:val="fr-BE"/>
              </w:rPr>
              <w:t>: obtenir une confirmation écrite des cabinets d'avocats concernant les litiges en cours (à la date la plus proche possible de l'audit)</w:t>
            </w:r>
            <w:r>
              <w:rPr>
                <w:rFonts w:ascii="Arial" w:hAnsi="Arial" w:cs="Arial"/>
                <w:sz w:val="18"/>
                <w:szCs w:val="18"/>
                <w:lang w:val="fr-BE"/>
              </w:rPr>
              <w:t>.</w:t>
            </w:r>
          </w:p>
        </w:tc>
        <w:tc>
          <w:tcPr>
            <w:tcW w:w="569" w:type="dxa"/>
            <w:tcBorders>
              <w:top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tcBorders>
              <w:top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tcBorders>
              <w:top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992" w:type="dxa"/>
            <w:tcBorders>
              <w:top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tcBorders>
              <w:top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tcBorders>
              <w:top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tcBorders>
              <w:top w:val="single" w:sz="4" w:space="0" w:color="auto"/>
            </w:tcBorders>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392" w:type="dxa"/>
          </w:tcPr>
          <w:p w:rsidR="000765A3" w:rsidRPr="000765A3" w:rsidRDefault="000765A3" w:rsidP="000765A3">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C47667">
            <w:pPr>
              <w:pStyle w:val="ListParagraph"/>
              <w:numPr>
                <w:ilvl w:val="0"/>
                <w:numId w:val="33"/>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C</w:t>
            </w:r>
            <w:r w:rsidRPr="000214A5">
              <w:rPr>
                <w:rFonts w:ascii="Arial" w:hAnsi="Arial" w:cs="Arial"/>
                <w:sz w:val="18"/>
                <w:szCs w:val="18"/>
                <w:lang w:val="fr-BE"/>
              </w:rPr>
              <w:t>o</w:t>
            </w:r>
            <w:r>
              <w:rPr>
                <w:rFonts w:ascii="Arial" w:hAnsi="Arial" w:cs="Arial"/>
                <w:sz w:val="18"/>
                <w:szCs w:val="18"/>
                <w:lang w:val="fr-BE"/>
              </w:rPr>
              <w:t>ntrats, engagements et accords.</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X</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392" w:type="dxa"/>
          </w:tcPr>
          <w:p w:rsidR="000765A3" w:rsidRPr="000765A3" w:rsidRDefault="000765A3" w:rsidP="000214A5">
            <w:pPr>
              <w:spacing w:before="60" w:after="60" w:line="240" w:lineRule="auto"/>
              <w:jc w:val="both"/>
              <w:rPr>
                <w:rFonts w:ascii="Garamond" w:hAnsi="Garamond" w:cs="Arial"/>
                <w:sz w:val="18"/>
                <w:szCs w:val="18"/>
                <w:lang w:val="fr-BE"/>
              </w:rPr>
            </w:pPr>
          </w:p>
        </w:tc>
        <w:tc>
          <w:tcPr>
            <w:tcW w:w="4126" w:type="dxa"/>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Considérer les éléments suivants dans la recherche des contrats, d'engagements et d'accords significatifs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4"/>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des engagements d'achats au-delà des exigences normales ou à des prix sensiblement supérieurs à d</w:t>
            </w:r>
            <w:r>
              <w:rPr>
                <w:rFonts w:ascii="Arial" w:hAnsi="Arial" w:cs="Arial"/>
                <w:sz w:val="18"/>
                <w:szCs w:val="18"/>
                <w:lang w:val="fr-BE"/>
              </w:rPr>
              <w:t>es prix prévalant sur le marché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4"/>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contrats de ventes à des prix nettement inférieurs au prix de</w:t>
            </w:r>
            <w:r>
              <w:rPr>
                <w:rFonts w:ascii="Arial" w:hAnsi="Arial" w:cs="Arial"/>
                <w:sz w:val="18"/>
                <w:szCs w:val="18"/>
                <w:lang w:val="fr-BE"/>
              </w:rPr>
              <w:t xml:space="preserve"> ventes ou au prix d'inventaire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4"/>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obligations contractuelles pour l'achat ou la vente d'immobilisations corporelles, d'installations,</w:t>
            </w:r>
            <w:r>
              <w:rPr>
                <w:rFonts w:ascii="Arial" w:hAnsi="Arial" w:cs="Arial"/>
                <w:sz w:val="18"/>
                <w:szCs w:val="18"/>
                <w:lang w:val="fr-BE"/>
              </w:rPr>
              <w:t xml:space="preserve"> de machines et d'autres actifs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F5457B"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4"/>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engagements de locations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4"/>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contrats à terme sur marchandise</w:t>
            </w:r>
            <w:r>
              <w:rPr>
                <w:rFonts w:ascii="Arial" w:hAnsi="Arial" w:cs="Arial"/>
                <w:sz w:val="18"/>
                <w:szCs w:val="18"/>
                <w:lang w:val="fr-BE"/>
              </w:rPr>
              <w:t xml:space="preserve"> </w:t>
            </w:r>
            <w:r w:rsidRPr="000214A5">
              <w:rPr>
                <w:rFonts w:ascii="Arial" w:hAnsi="Arial" w:cs="Arial"/>
                <w:sz w:val="18"/>
                <w:szCs w:val="18"/>
                <w:lang w:val="fr-BE"/>
              </w:rPr>
              <w:t xml:space="preserve">; fluctuation des taux de change sur les actifs, les dettes ou les futurs </w:t>
            </w:r>
            <w:r>
              <w:rPr>
                <w:rFonts w:ascii="Arial" w:hAnsi="Arial" w:cs="Arial"/>
                <w:sz w:val="18"/>
                <w:szCs w:val="18"/>
                <w:lang w:val="fr-BE"/>
              </w:rPr>
              <w:t>contrats ;</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4"/>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pension ou d'autres engagements sur les</w:t>
            </w:r>
            <w:r>
              <w:rPr>
                <w:rFonts w:ascii="Arial" w:hAnsi="Arial" w:cs="Arial"/>
                <w:sz w:val="18"/>
                <w:szCs w:val="18"/>
                <w:lang w:val="fr-BE"/>
              </w:rPr>
              <w:t xml:space="preserve"> avantages sociaux des employés ; et</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392" w:type="dxa"/>
          </w:tcPr>
          <w:p w:rsidR="000765A3" w:rsidRPr="000765A3" w:rsidRDefault="000765A3" w:rsidP="000765A3">
            <w:pPr>
              <w:pStyle w:val="ListParagraph"/>
              <w:spacing w:before="60" w:after="60" w:line="240" w:lineRule="auto"/>
              <w:ind w:left="360"/>
              <w:contextualSpacing w:val="0"/>
              <w:jc w:val="both"/>
              <w:rPr>
                <w:rFonts w:ascii="Garamond" w:hAnsi="Garamond" w:cs="Arial"/>
                <w:sz w:val="18"/>
                <w:szCs w:val="18"/>
                <w:lang w:val="fr-BE"/>
              </w:rPr>
            </w:pPr>
          </w:p>
        </w:tc>
        <w:tc>
          <w:tcPr>
            <w:tcW w:w="4126" w:type="dxa"/>
          </w:tcPr>
          <w:p w:rsidR="000765A3" w:rsidRPr="000214A5" w:rsidRDefault="000765A3" w:rsidP="000214A5">
            <w:pPr>
              <w:pStyle w:val="ListParagraph"/>
              <w:numPr>
                <w:ilvl w:val="0"/>
                <w:numId w:val="24"/>
              </w:numPr>
              <w:spacing w:before="60" w:after="60" w:line="240" w:lineRule="auto"/>
              <w:contextualSpacing w:val="0"/>
              <w:jc w:val="both"/>
              <w:rPr>
                <w:rFonts w:ascii="Arial" w:hAnsi="Arial" w:cs="Arial"/>
                <w:sz w:val="18"/>
                <w:szCs w:val="18"/>
                <w:lang w:val="fr-BE"/>
              </w:rPr>
            </w:pPr>
            <w:r w:rsidRPr="000214A5">
              <w:rPr>
                <w:rFonts w:ascii="Arial" w:hAnsi="Arial" w:cs="Arial"/>
                <w:sz w:val="18"/>
                <w:szCs w:val="18"/>
                <w:lang w:val="fr-BE"/>
              </w:rPr>
              <w:t>examiner les confirmations bancaires pour l'indication de tout engagement non renseigné en annexe des comptes annuels.</w:t>
            </w:r>
          </w:p>
        </w:tc>
        <w:tc>
          <w:tcPr>
            <w:tcW w:w="56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709"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1134"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992"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c>
          <w:tcPr>
            <w:tcW w:w="3676" w:type="dxa"/>
            <w:noWrap/>
          </w:tcPr>
          <w:p w:rsidR="000765A3" w:rsidRPr="000214A5" w:rsidRDefault="000765A3" w:rsidP="000214A5">
            <w:pPr>
              <w:spacing w:before="60" w:after="60" w:line="240" w:lineRule="auto"/>
              <w:jc w:val="both"/>
              <w:rPr>
                <w:rFonts w:ascii="Arial" w:hAnsi="Arial" w:cs="Arial"/>
                <w:sz w:val="18"/>
                <w:szCs w:val="18"/>
                <w:lang w:val="fr-BE"/>
              </w:rPr>
            </w:pPr>
            <w:r w:rsidRPr="000214A5">
              <w:rPr>
                <w:rFonts w:ascii="Arial" w:hAnsi="Arial" w:cs="Arial"/>
                <w:sz w:val="18"/>
                <w:szCs w:val="18"/>
                <w:lang w:val="fr-BE"/>
              </w:rPr>
              <w:t> </w:t>
            </w:r>
          </w:p>
        </w:tc>
      </w:tr>
    </w:tbl>
    <w:p w:rsidR="00F67144" w:rsidRDefault="00F67144" w:rsidP="00DC22DC">
      <w:pPr>
        <w:jc w:val="both"/>
        <w:rPr>
          <w:rFonts w:ascii="Arial" w:hAnsi="Arial" w:cs="Arial"/>
          <w:sz w:val="20"/>
          <w:szCs w:val="20"/>
          <w:lang w:val="fr-BE"/>
        </w:rPr>
      </w:pPr>
    </w:p>
    <w:p w:rsidR="000765A3" w:rsidRDefault="000765A3" w:rsidP="00DC22DC">
      <w:pPr>
        <w:jc w:val="both"/>
        <w:rPr>
          <w:rFonts w:ascii="Arial" w:hAnsi="Arial" w:cs="Arial"/>
          <w:sz w:val="20"/>
          <w:szCs w:val="20"/>
          <w:lang w:val="fr-BE"/>
        </w:rPr>
      </w:pPr>
    </w:p>
    <w:p w:rsidR="000765A3" w:rsidRDefault="000765A3" w:rsidP="00DC22DC">
      <w:pPr>
        <w:jc w:val="both"/>
        <w:rPr>
          <w:rFonts w:ascii="Arial" w:hAnsi="Arial" w:cs="Arial"/>
          <w:sz w:val="20"/>
          <w:szCs w:val="20"/>
          <w:lang w:val="fr-BE"/>
        </w:rPr>
      </w:pPr>
    </w:p>
    <w:tbl>
      <w:tblPr>
        <w:tblW w:w="13866" w:type="dxa"/>
        <w:tblLayout w:type="fixed"/>
        <w:tblLook w:val="00A0" w:firstRow="1" w:lastRow="0" w:firstColumn="1" w:lastColumn="0" w:noHBand="0" w:noVBand="0"/>
      </w:tblPr>
      <w:tblGrid>
        <w:gridCol w:w="534"/>
        <w:gridCol w:w="4126"/>
        <w:gridCol w:w="569"/>
        <w:gridCol w:w="709"/>
        <w:gridCol w:w="1134"/>
        <w:gridCol w:w="992"/>
        <w:gridCol w:w="1134"/>
        <w:gridCol w:w="992"/>
        <w:gridCol w:w="3676"/>
      </w:tblGrid>
      <w:tr w:rsidR="000765A3" w:rsidRPr="008A0CE2" w:rsidTr="000765A3">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0765A3" w:rsidRPr="008A0CE2" w:rsidRDefault="000765A3" w:rsidP="000765A3">
            <w:pPr>
              <w:spacing w:before="60" w:after="60" w:line="240" w:lineRule="auto"/>
              <w:jc w:val="center"/>
              <w:rPr>
                <w:rFonts w:ascii="Arial" w:hAnsi="Arial" w:cs="Arial"/>
                <w:b/>
                <w:bCs/>
                <w:sz w:val="18"/>
                <w:szCs w:val="18"/>
                <w:lang w:val="fr-BE"/>
              </w:rPr>
            </w:pPr>
            <w:bookmarkStart w:id="0" w:name="_GoBack"/>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0765A3" w:rsidRPr="008A0CE2" w:rsidRDefault="000765A3" w:rsidP="000765A3">
            <w:pPr>
              <w:spacing w:before="60" w:after="60" w:line="240" w:lineRule="auto"/>
              <w:jc w:val="center"/>
              <w:rPr>
                <w:rFonts w:ascii="Arial" w:hAnsi="Arial" w:cs="Arial"/>
                <w:b/>
                <w:bCs/>
                <w:sz w:val="18"/>
                <w:szCs w:val="18"/>
                <w:lang w:val="fr-BE"/>
              </w:rPr>
            </w:pPr>
          </w:p>
          <w:p w:rsidR="000765A3" w:rsidRPr="008A0CE2" w:rsidRDefault="000765A3" w:rsidP="000765A3">
            <w:pPr>
              <w:spacing w:before="60" w:after="60" w:line="240" w:lineRule="auto"/>
              <w:jc w:val="center"/>
              <w:rPr>
                <w:rFonts w:ascii="Arial" w:hAnsi="Arial" w:cs="Arial"/>
                <w:b/>
                <w:bCs/>
                <w:sz w:val="18"/>
                <w:szCs w:val="18"/>
                <w:lang w:val="fr-BE"/>
              </w:rPr>
            </w:pPr>
          </w:p>
          <w:p w:rsidR="000765A3" w:rsidRPr="008A0CE2" w:rsidRDefault="000765A3" w:rsidP="000765A3">
            <w:pPr>
              <w:spacing w:before="60" w:after="60" w:line="240" w:lineRule="auto"/>
              <w:jc w:val="center"/>
              <w:rPr>
                <w:rFonts w:ascii="Arial" w:hAnsi="Arial" w:cs="Arial"/>
                <w:b/>
                <w:bCs/>
                <w:sz w:val="18"/>
                <w:szCs w:val="18"/>
                <w:lang w:val="fr-BE"/>
              </w:rPr>
            </w:pPr>
            <w:r w:rsidRPr="008A0CE2">
              <w:rPr>
                <w:rFonts w:ascii="Arial" w:hAnsi="Arial" w:cs="Arial"/>
                <w:b/>
                <w:bCs/>
                <w:sz w:val="18"/>
                <w:szCs w:val="18"/>
                <w:lang w:val="fr-BE"/>
              </w:rPr>
              <w:t>ACHATS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8A0CE2" w:rsidRDefault="000765A3" w:rsidP="000765A3">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C = 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8A0CE2" w:rsidRDefault="000765A3" w:rsidP="000765A3">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E = 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8A0CE2" w:rsidRDefault="000765A3" w:rsidP="000765A3">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A = 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8A0CE2" w:rsidRDefault="000765A3" w:rsidP="000765A3">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V = 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8A0CE2" w:rsidRDefault="000765A3" w:rsidP="000765A3">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0765A3" w:rsidRPr="008A0CE2" w:rsidRDefault="000765A3" w:rsidP="000765A3">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0765A3" w:rsidRPr="008A0CE2" w:rsidRDefault="000765A3" w:rsidP="000765A3">
            <w:pPr>
              <w:spacing w:before="60" w:after="60" w:line="240" w:lineRule="auto"/>
              <w:jc w:val="center"/>
              <w:rPr>
                <w:rFonts w:ascii="Arial" w:hAnsi="Arial" w:cs="Arial"/>
                <w:b/>
                <w:sz w:val="18"/>
                <w:szCs w:val="18"/>
                <w:lang w:val="fr-BE"/>
              </w:rPr>
            </w:pPr>
          </w:p>
          <w:p w:rsidR="000765A3" w:rsidRPr="008A0CE2" w:rsidRDefault="000765A3" w:rsidP="000765A3">
            <w:pPr>
              <w:spacing w:before="60" w:after="60" w:line="240" w:lineRule="auto"/>
              <w:jc w:val="center"/>
              <w:rPr>
                <w:rFonts w:ascii="Arial" w:hAnsi="Arial" w:cs="Arial"/>
                <w:b/>
                <w:sz w:val="18"/>
                <w:szCs w:val="18"/>
                <w:lang w:val="fr-BE"/>
              </w:rPr>
            </w:pPr>
          </w:p>
          <w:p w:rsidR="000765A3" w:rsidRPr="008A0CE2" w:rsidRDefault="000765A3" w:rsidP="000765A3">
            <w:pPr>
              <w:spacing w:before="60" w:after="60" w:line="240" w:lineRule="auto"/>
              <w:jc w:val="center"/>
              <w:rPr>
                <w:rFonts w:ascii="Arial" w:hAnsi="Arial" w:cs="Arial"/>
                <w:b/>
                <w:sz w:val="18"/>
                <w:szCs w:val="18"/>
                <w:lang w:val="fr-BE"/>
              </w:rPr>
            </w:pPr>
            <w:r w:rsidRPr="008A0CE2">
              <w:rPr>
                <w:rFonts w:ascii="Arial" w:hAnsi="Arial" w:cs="Arial"/>
                <w:b/>
                <w:sz w:val="18"/>
                <w:szCs w:val="18"/>
                <w:lang w:val="fr-BE"/>
              </w:rPr>
              <w:t>Commentaires</w:t>
            </w:r>
          </w:p>
        </w:tc>
      </w:tr>
      <w:bookmarkEnd w:id="0"/>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534" w:type="dxa"/>
            <w:tcBorders>
              <w:top w:val="single" w:sz="4" w:space="0" w:color="auto"/>
            </w:tcBorders>
          </w:tcPr>
          <w:p w:rsidR="000765A3" w:rsidRPr="00CC6A4F" w:rsidRDefault="000765A3" w:rsidP="00CF1314">
            <w:pPr>
              <w:pStyle w:val="ListParagraph"/>
              <w:spacing w:before="60" w:after="60" w:line="240" w:lineRule="auto"/>
              <w:ind w:left="0"/>
              <w:contextualSpacing w:val="0"/>
              <w:rPr>
                <w:rFonts w:ascii="Arial" w:hAnsi="Arial" w:cs="Arial"/>
                <w:b/>
                <w:sz w:val="18"/>
                <w:szCs w:val="18"/>
                <w:lang w:val="fr-BE"/>
              </w:rPr>
            </w:pPr>
            <w:r w:rsidRPr="00CC6A4F">
              <w:rPr>
                <w:rFonts w:ascii="Arial" w:hAnsi="Arial" w:cs="Arial"/>
                <w:b/>
                <w:sz w:val="18"/>
                <w:szCs w:val="18"/>
                <w:lang w:val="fr-BE"/>
              </w:rPr>
              <w:t>B</w:t>
            </w:r>
            <w:r w:rsidR="00CC6A4F" w:rsidRPr="00CC6A4F">
              <w:rPr>
                <w:rFonts w:ascii="Arial" w:hAnsi="Arial" w:cs="Arial"/>
                <w:b/>
                <w:sz w:val="18"/>
                <w:szCs w:val="18"/>
                <w:lang w:val="fr-BE"/>
              </w:rPr>
              <w:t>.</w:t>
            </w:r>
          </w:p>
        </w:tc>
        <w:tc>
          <w:tcPr>
            <w:tcW w:w="4126" w:type="dxa"/>
            <w:tcBorders>
              <w:top w:val="single" w:sz="4" w:space="0" w:color="auto"/>
            </w:tcBorders>
          </w:tcPr>
          <w:p w:rsidR="000765A3" w:rsidRPr="00CC6A4F" w:rsidRDefault="008A0CE2" w:rsidP="000765A3">
            <w:pPr>
              <w:spacing w:before="60" w:after="60" w:line="240" w:lineRule="auto"/>
              <w:jc w:val="both"/>
              <w:rPr>
                <w:rFonts w:ascii="Arial" w:hAnsi="Arial" w:cs="Arial"/>
                <w:b/>
                <w:sz w:val="18"/>
                <w:szCs w:val="18"/>
                <w:lang w:val="fr-BE"/>
              </w:rPr>
            </w:pPr>
            <w:r w:rsidRPr="00CC6A4F">
              <w:rPr>
                <w:rFonts w:ascii="Arial" w:hAnsi="Arial" w:cs="Arial"/>
                <w:b/>
                <w:sz w:val="18"/>
                <w:szCs w:val="18"/>
                <w:lang w:val="fr-BE"/>
              </w:rPr>
              <w:t>Procédures particulière pour traiter des risques spécifiques.</w:t>
            </w:r>
            <w:r w:rsidR="000765A3" w:rsidRPr="00CC6A4F">
              <w:rPr>
                <w:rFonts w:ascii="Arial" w:hAnsi="Arial" w:cs="Arial"/>
                <w:b/>
                <w:sz w:val="18"/>
                <w:szCs w:val="18"/>
                <w:lang w:val="fr-BE"/>
              </w:rPr>
              <w:t> </w:t>
            </w:r>
          </w:p>
          <w:p w:rsidR="000765A3" w:rsidRPr="00CC6A4F" w:rsidRDefault="000765A3" w:rsidP="000765A3">
            <w:pPr>
              <w:pStyle w:val="ListParagraph"/>
              <w:spacing w:before="60" w:after="60" w:line="240" w:lineRule="auto"/>
              <w:ind w:left="360"/>
              <w:contextualSpacing w:val="0"/>
              <w:jc w:val="both"/>
              <w:rPr>
                <w:rFonts w:ascii="Arial" w:hAnsi="Arial" w:cs="Arial"/>
                <w:b/>
                <w:sz w:val="18"/>
                <w:szCs w:val="18"/>
                <w:lang w:val="fr-BE"/>
              </w:rPr>
            </w:pPr>
          </w:p>
        </w:tc>
        <w:tc>
          <w:tcPr>
            <w:tcW w:w="569" w:type="dxa"/>
            <w:tcBorders>
              <w:top w:val="single" w:sz="4" w:space="0" w:color="auto"/>
            </w:tcBorders>
            <w:noWrap/>
          </w:tcPr>
          <w:p w:rsidR="000765A3" w:rsidRPr="00CC6A4F" w:rsidRDefault="000765A3" w:rsidP="000765A3">
            <w:pPr>
              <w:spacing w:before="60" w:after="60" w:line="240" w:lineRule="auto"/>
              <w:jc w:val="both"/>
              <w:rPr>
                <w:rFonts w:ascii="Arial" w:hAnsi="Arial" w:cs="Arial"/>
                <w:b/>
                <w:sz w:val="18"/>
                <w:szCs w:val="18"/>
                <w:lang w:val="fr-BE"/>
              </w:rPr>
            </w:pPr>
          </w:p>
        </w:tc>
        <w:tc>
          <w:tcPr>
            <w:tcW w:w="709" w:type="dxa"/>
            <w:tcBorders>
              <w:top w:val="single" w:sz="4" w:space="0" w:color="auto"/>
            </w:tcBorders>
            <w:noWrap/>
          </w:tcPr>
          <w:p w:rsidR="000765A3" w:rsidRPr="00CC6A4F" w:rsidRDefault="000765A3" w:rsidP="000765A3">
            <w:pPr>
              <w:spacing w:before="60" w:after="60" w:line="240" w:lineRule="auto"/>
              <w:jc w:val="both"/>
              <w:rPr>
                <w:rFonts w:ascii="Arial" w:hAnsi="Arial" w:cs="Arial"/>
                <w:b/>
                <w:sz w:val="18"/>
                <w:szCs w:val="18"/>
                <w:lang w:val="fr-BE"/>
              </w:rPr>
            </w:pPr>
          </w:p>
        </w:tc>
        <w:tc>
          <w:tcPr>
            <w:tcW w:w="1134" w:type="dxa"/>
            <w:tcBorders>
              <w:top w:val="single" w:sz="4" w:space="0" w:color="auto"/>
            </w:tcBorders>
            <w:noWrap/>
          </w:tcPr>
          <w:p w:rsidR="000765A3" w:rsidRPr="00CC6A4F" w:rsidRDefault="000765A3" w:rsidP="000765A3">
            <w:pPr>
              <w:spacing w:before="60" w:after="60" w:line="240" w:lineRule="auto"/>
              <w:jc w:val="both"/>
              <w:rPr>
                <w:rFonts w:ascii="Arial" w:hAnsi="Arial" w:cs="Arial"/>
                <w:b/>
                <w:sz w:val="18"/>
                <w:szCs w:val="18"/>
                <w:lang w:val="fr-BE"/>
              </w:rPr>
            </w:pPr>
          </w:p>
        </w:tc>
        <w:tc>
          <w:tcPr>
            <w:tcW w:w="992" w:type="dxa"/>
            <w:tcBorders>
              <w:top w:val="single" w:sz="4" w:space="0" w:color="auto"/>
            </w:tcBorders>
            <w:noWrap/>
          </w:tcPr>
          <w:p w:rsidR="000765A3" w:rsidRPr="00CC6A4F" w:rsidRDefault="000765A3" w:rsidP="000765A3">
            <w:pPr>
              <w:spacing w:before="60" w:after="60" w:line="240" w:lineRule="auto"/>
              <w:jc w:val="both"/>
              <w:rPr>
                <w:rFonts w:ascii="Arial" w:hAnsi="Arial" w:cs="Arial"/>
                <w:b/>
                <w:sz w:val="18"/>
                <w:szCs w:val="18"/>
                <w:lang w:val="fr-BE"/>
              </w:rPr>
            </w:pPr>
          </w:p>
        </w:tc>
        <w:tc>
          <w:tcPr>
            <w:tcW w:w="1134" w:type="dxa"/>
            <w:tcBorders>
              <w:top w:val="single" w:sz="4" w:space="0" w:color="auto"/>
            </w:tcBorders>
            <w:noWrap/>
          </w:tcPr>
          <w:p w:rsidR="000765A3" w:rsidRPr="00CC6A4F" w:rsidRDefault="000765A3" w:rsidP="000765A3">
            <w:pPr>
              <w:spacing w:before="60" w:after="60" w:line="240" w:lineRule="auto"/>
              <w:jc w:val="both"/>
              <w:rPr>
                <w:rFonts w:ascii="Arial" w:hAnsi="Arial" w:cs="Arial"/>
                <w:b/>
                <w:sz w:val="18"/>
                <w:szCs w:val="18"/>
                <w:lang w:val="fr-BE"/>
              </w:rPr>
            </w:pPr>
          </w:p>
        </w:tc>
        <w:tc>
          <w:tcPr>
            <w:tcW w:w="992" w:type="dxa"/>
            <w:tcBorders>
              <w:top w:val="single" w:sz="4" w:space="0" w:color="auto"/>
            </w:tcBorders>
            <w:noWrap/>
          </w:tcPr>
          <w:p w:rsidR="000765A3" w:rsidRPr="00CC6A4F" w:rsidRDefault="000765A3" w:rsidP="000765A3">
            <w:pPr>
              <w:spacing w:before="60" w:after="60" w:line="240" w:lineRule="auto"/>
              <w:jc w:val="both"/>
              <w:rPr>
                <w:rFonts w:ascii="Arial" w:hAnsi="Arial" w:cs="Arial"/>
                <w:b/>
                <w:sz w:val="18"/>
                <w:szCs w:val="18"/>
                <w:lang w:val="fr-BE"/>
              </w:rPr>
            </w:pPr>
          </w:p>
        </w:tc>
        <w:tc>
          <w:tcPr>
            <w:tcW w:w="3676" w:type="dxa"/>
            <w:tcBorders>
              <w:top w:val="single" w:sz="4" w:space="0" w:color="auto"/>
            </w:tcBorders>
            <w:noWrap/>
          </w:tcPr>
          <w:p w:rsidR="000765A3" w:rsidRPr="00CC6A4F" w:rsidRDefault="000765A3" w:rsidP="000765A3">
            <w:pPr>
              <w:spacing w:before="60" w:after="60" w:line="240" w:lineRule="auto"/>
              <w:jc w:val="both"/>
              <w:rPr>
                <w:rFonts w:ascii="Arial" w:hAnsi="Arial" w:cs="Arial"/>
                <w:b/>
                <w:sz w:val="18"/>
                <w:szCs w:val="18"/>
                <w:lang w:val="fr-BE"/>
              </w:rPr>
            </w:pP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534" w:type="dxa"/>
          </w:tcPr>
          <w:p w:rsidR="000765A3" w:rsidRPr="008A0CE2" w:rsidRDefault="000765A3" w:rsidP="000765A3">
            <w:pPr>
              <w:spacing w:before="60" w:after="60" w:line="240" w:lineRule="auto"/>
              <w:jc w:val="center"/>
              <w:rPr>
                <w:rFonts w:ascii="Arial" w:hAnsi="Arial" w:cs="Arial"/>
                <w:b/>
                <w:sz w:val="18"/>
                <w:szCs w:val="18"/>
                <w:lang w:val="fr-BE"/>
              </w:rPr>
            </w:pPr>
          </w:p>
        </w:tc>
        <w:tc>
          <w:tcPr>
            <w:tcW w:w="4126" w:type="dxa"/>
          </w:tcPr>
          <w:p w:rsidR="000765A3" w:rsidRPr="008A0CE2" w:rsidRDefault="000765A3" w:rsidP="000765A3">
            <w:pPr>
              <w:pStyle w:val="ListParagraph"/>
              <w:spacing w:before="60" w:after="60" w:line="240" w:lineRule="auto"/>
              <w:ind w:left="360"/>
              <w:contextualSpacing w:val="0"/>
              <w:jc w:val="both"/>
              <w:rPr>
                <w:rFonts w:ascii="Arial" w:hAnsi="Arial" w:cs="Arial"/>
                <w:sz w:val="18"/>
                <w:szCs w:val="18"/>
                <w:lang w:val="fr-BE"/>
              </w:rPr>
            </w:pPr>
          </w:p>
        </w:tc>
        <w:tc>
          <w:tcPr>
            <w:tcW w:w="569" w:type="dxa"/>
            <w:noWrap/>
          </w:tcPr>
          <w:p w:rsidR="000765A3" w:rsidRPr="008A0CE2" w:rsidRDefault="000765A3" w:rsidP="000765A3">
            <w:pPr>
              <w:spacing w:before="60" w:after="60" w:line="240" w:lineRule="auto"/>
              <w:jc w:val="both"/>
              <w:rPr>
                <w:rFonts w:ascii="Arial" w:hAnsi="Arial" w:cs="Arial"/>
                <w:sz w:val="18"/>
                <w:szCs w:val="18"/>
                <w:lang w:val="fr-BE"/>
              </w:rPr>
            </w:pPr>
          </w:p>
        </w:tc>
        <w:tc>
          <w:tcPr>
            <w:tcW w:w="709" w:type="dxa"/>
            <w:noWrap/>
          </w:tcPr>
          <w:p w:rsidR="000765A3" w:rsidRPr="008A0CE2" w:rsidRDefault="000765A3" w:rsidP="000765A3">
            <w:pPr>
              <w:spacing w:before="60" w:after="60" w:line="240" w:lineRule="auto"/>
              <w:jc w:val="both"/>
              <w:rPr>
                <w:rFonts w:ascii="Arial" w:hAnsi="Arial" w:cs="Arial"/>
                <w:sz w:val="18"/>
                <w:szCs w:val="18"/>
                <w:lang w:val="fr-BE"/>
              </w:rPr>
            </w:pPr>
          </w:p>
        </w:tc>
        <w:tc>
          <w:tcPr>
            <w:tcW w:w="1134" w:type="dxa"/>
            <w:noWrap/>
          </w:tcPr>
          <w:p w:rsidR="000765A3" w:rsidRPr="008A0CE2" w:rsidRDefault="000765A3" w:rsidP="000765A3">
            <w:pPr>
              <w:spacing w:before="60" w:after="60" w:line="240" w:lineRule="auto"/>
              <w:jc w:val="both"/>
              <w:rPr>
                <w:rFonts w:ascii="Arial" w:hAnsi="Arial" w:cs="Arial"/>
                <w:sz w:val="18"/>
                <w:szCs w:val="18"/>
                <w:lang w:val="fr-BE"/>
              </w:rPr>
            </w:pPr>
          </w:p>
        </w:tc>
        <w:tc>
          <w:tcPr>
            <w:tcW w:w="992" w:type="dxa"/>
            <w:noWrap/>
          </w:tcPr>
          <w:p w:rsidR="000765A3" w:rsidRPr="008A0CE2" w:rsidRDefault="000765A3" w:rsidP="000765A3">
            <w:pPr>
              <w:spacing w:before="60" w:after="60" w:line="240" w:lineRule="auto"/>
              <w:jc w:val="both"/>
              <w:rPr>
                <w:rFonts w:ascii="Arial" w:hAnsi="Arial" w:cs="Arial"/>
                <w:sz w:val="18"/>
                <w:szCs w:val="18"/>
                <w:lang w:val="fr-BE"/>
              </w:rPr>
            </w:pPr>
          </w:p>
        </w:tc>
        <w:tc>
          <w:tcPr>
            <w:tcW w:w="1134" w:type="dxa"/>
            <w:noWrap/>
          </w:tcPr>
          <w:p w:rsidR="000765A3" w:rsidRPr="008A0CE2" w:rsidRDefault="000765A3" w:rsidP="000765A3">
            <w:pPr>
              <w:spacing w:before="60" w:after="60" w:line="240" w:lineRule="auto"/>
              <w:jc w:val="both"/>
              <w:rPr>
                <w:rFonts w:ascii="Arial" w:hAnsi="Arial" w:cs="Arial"/>
                <w:sz w:val="18"/>
                <w:szCs w:val="18"/>
                <w:lang w:val="fr-BE"/>
              </w:rPr>
            </w:pPr>
          </w:p>
        </w:tc>
        <w:tc>
          <w:tcPr>
            <w:tcW w:w="992" w:type="dxa"/>
            <w:noWrap/>
          </w:tcPr>
          <w:p w:rsidR="000765A3" w:rsidRPr="008A0CE2" w:rsidRDefault="000765A3" w:rsidP="000765A3">
            <w:pPr>
              <w:spacing w:before="60" w:after="60" w:line="240" w:lineRule="auto"/>
              <w:jc w:val="both"/>
              <w:rPr>
                <w:rFonts w:ascii="Arial" w:hAnsi="Arial" w:cs="Arial"/>
                <w:sz w:val="18"/>
                <w:szCs w:val="18"/>
                <w:lang w:val="fr-BE"/>
              </w:rPr>
            </w:pPr>
          </w:p>
        </w:tc>
        <w:tc>
          <w:tcPr>
            <w:tcW w:w="3676" w:type="dxa"/>
            <w:noWrap/>
          </w:tcPr>
          <w:p w:rsidR="000765A3" w:rsidRPr="008A0CE2" w:rsidRDefault="000765A3" w:rsidP="000765A3">
            <w:pPr>
              <w:spacing w:before="60" w:after="60" w:line="240" w:lineRule="auto"/>
              <w:jc w:val="both"/>
              <w:rPr>
                <w:rFonts w:ascii="Arial" w:hAnsi="Arial" w:cs="Arial"/>
                <w:sz w:val="18"/>
                <w:szCs w:val="18"/>
                <w:lang w:val="fr-BE"/>
              </w:rPr>
            </w:pPr>
          </w:p>
        </w:tc>
      </w:tr>
      <w:tr w:rsidR="000765A3" w:rsidRPr="00CC6A4F" w:rsidTr="00076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534" w:type="dxa"/>
          </w:tcPr>
          <w:p w:rsidR="000765A3" w:rsidRPr="00CC6A4F" w:rsidRDefault="008A0CE2" w:rsidP="008A0CE2">
            <w:pPr>
              <w:spacing w:before="60" w:after="60" w:line="240" w:lineRule="auto"/>
              <w:rPr>
                <w:rFonts w:ascii="Arial" w:hAnsi="Arial" w:cs="Arial"/>
                <w:b/>
                <w:sz w:val="18"/>
                <w:szCs w:val="18"/>
                <w:lang w:val="fr-BE"/>
              </w:rPr>
            </w:pPr>
            <w:r w:rsidRPr="00CC6A4F">
              <w:rPr>
                <w:rFonts w:ascii="Arial" w:hAnsi="Arial" w:cs="Arial"/>
                <w:b/>
                <w:sz w:val="18"/>
                <w:szCs w:val="18"/>
                <w:lang w:val="fr-BE"/>
              </w:rPr>
              <w:t>C</w:t>
            </w:r>
            <w:r w:rsidR="00CC6A4F" w:rsidRPr="00CC6A4F">
              <w:rPr>
                <w:rFonts w:ascii="Arial" w:hAnsi="Arial" w:cs="Arial"/>
                <w:b/>
                <w:sz w:val="18"/>
                <w:szCs w:val="18"/>
                <w:lang w:val="fr-BE"/>
              </w:rPr>
              <w:t>.</w:t>
            </w:r>
          </w:p>
        </w:tc>
        <w:tc>
          <w:tcPr>
            <w:tcW w:w="4126" w:type="dxa"/>
          </w:tcPr>
          <w:p w:rsidR="000765A3" w:rsidRPr="00CC6A4F" w:rsidRDefault="000765A3" w:rsidP="000765A3">
            <w:pPr>
              <w:spacing w:before="60" w:after="60" w:line="240" w:lineRule="auto"/>
              <w:jc w:val="both"/>
              <w:rPr>
                <w:rFonts w:ascii="Arial" w:hAnsi="Arial" w:cs="Arial"/>
                <w:b/>
                <w:sz w:val="18"/>
                <w:szCs w:val="18"/>
                <w:lang w:val="fr-FR"/>
              </w:rPr>
            </w:pPr>
            <w:r w:rsidRPr="00CC6A4F">
              <w:rPr>
                <w:rFonts w:ascii="Arial" w:hAnsi="Arial" w:cs="Arial"/>
                <w:b/>
                <w:sz w:val="18"/>
                <w:szCs w:val="18"/>
                <w:lang w:val="fr-FR"/>
              </w:rPr>
              <w:t>Test de procédures</w:t>
            </w:r>
          </w:p>
          <w:p w:rsidR="000765A3" w:rsidRPr="00CC6A4F" w:rsidRDefault="000765A3" w:rsidP="000765A3">
            <w:pPr>
              <w:spacing w:before="60" w:after="60" w:line="240" w:lineRule="auto"/>
              <w:jc w:val="both"/>
              <w:rPr>
                <w:rFonts w:ascii="Arial" w:hAnsi="Arial" w:cs="Arial"/>
                <w:b/>
                <w:sz w:val="18"/>
                <w:szCs w:val="18"/>
                <w:lang w:val="fr-FR"/>
              </w:rPr>
            </w:pPr>
            <w:r w:rsidRPr="00CC6A4F">
              <w:rPr>
                <w:rFonts w:ascii="Arial" w:hAnsi="Arial" w:cs="Arial"/>
                <w:b/>
                <w:sz w:val="18"/>
                <w:szCs w:val="18"/>
                <w:lang w:val="fr-FR"/>
              </w:rPr>
              <w:t> </w:t>
            </w:r>
          </w:p>
          <w:p w:rsidR="000765A3" w:rsidRPr="00CC6A4F" w:rsidRDefault="000765A3" w:rsidP="000765A3">
            <w:pPr>
              <w:spacing w:before="60" w:after="60" w:line="240" w:lineRule="auto"/>
              <w:jc w:val="both"/>
              <w:rPr>
                <w:rFonts w:ascii="Arial" w:hAnsi="Arial" w:cs="Arial"/>
                <w:b/>
                <w:sz w:val="18"/>
                <w:szCs w:val="18"/>
                <w:lang w:val="fr-FR"/>
              </w:rPr>
            </w:pPr>
            <w:r w:rsidRPr="00CC6A4F">
              <w:rPr>
                <w:rFonts w:ascii="Arial" w:hAnsi="Arial" w:cs="Arial"/>
                <w:b/>
                <w:sz w:val="18"/>
                <w:szCs w:val="18"/>
                <w:lang w:val="fr-FR"/>
              </w:rPr>
              <w:t> </w:t>
            </w:r>
          </w:p>
        </w:tc>
        <w:tc>
          <w:tcPr>
            <w:tcW w:w="569" w:type="dxa"/>
            <w:noWrap/>
          </w:tcPr>
          <w:p w:rsidR="000765A3" w:rsidRPr="00CC6A4F" w:rsidRDefault="000765A3" w:rsidP="000765A3">
            <w:pPr>
              <w:spacing w:before="60" w:after="60" w:line="240" w:lineRule="auto"/>
              <w:jc w:val="both"/>
              <w:rPr>
                <w:rFonts w:ascii="Arial" w:hAnsi="Arial" w:cs="Arial"/>
                <w:b/>
                <w:sz w:val="18"/>
                <w:szCs w:val="18"/>
                <w:lang w:val="fr-BE"/>
              </w:rPr>
            </w:pPr>
          </w:p>
        </w:tc>
        <w:tc>
          <w:tcPr>
            <w:tcW w:w="709" w:type="dxa"/>
            <w:noWrap/>
          </w:tcPr>
          <w:p w:rsidR="000765A3" w:rsidRPr="00CC6A4F" w:rsidRDefault="000765A3" w:rsidP="000765A3">
            <w:pPr>
              <w:spacing w:before="60" w:after="60" w:line="240" w:lineRule="auto"/>
              <w:jc w:val="both"/>
              <w:rPr>
                <w:rFonts w:ascii="Arial" w:hAnsi="Arial" w:cs="Arial"/>
                <w:b/>
                <w:sz w:val="18"/>
                <w:szCs w:val="18"/>
                <w:lang w:val="fr-BE"/>
              </w:rPr>
            </w:pPr>
          </w:p>
        </w:tc>
        <w:tc>
          <w:tcPr>
            <w:tcW w:w="1134" w:type="dxa"/>
            <w:noWrap/>
          </w:tcPr>
          <w:p w:rsidR="000765A3" w:rsidRPr="00CC6A4F" w:rsidRDefault="000765A3" w:rsidP="000765A3">
            <w:pPr>
              <w:spacing w:before="60" w:after="60" w:line="240" w:lineRule="auto"/>
              <w:jc w:val="both"/>
              <w:rPr>
                <w:rFonts w:ascii="Arial" w:hAnsi="Arial" w:cs="Arial"/>
                <w:b/>
                <w:sz w:val="18"/>
                <w:szCs w:val="18"/>
                <w:lang w:val="fr-BE"/>
              </w:rPr>
            </w:pPr>
          </w:p>
        </w:tc>
        <w:tc>
          <w:tcPr>
            <w:tcW w:w="992" w:type="dxa"/>
            <w:noWrap/>
          </w:tcPr>
          <w:p w:rsidR="000765A3" w:rsidRPr="00CC6A4F" w:rsidRDefault="000765A3" w:rsidP="000765A3">
            <w:pPr>
              <w:spacing w:before="60" w:after="60" w:line="240" w:lineRule="auto"/>
              <w:jc w:val="both"/>
              <w:rPr>
                <w:rFonts w:ascii="Arial" w:hAnsi="Arial" w:cs="Arial"/>
                <w:b/>
                <w:sz w:val="18"/>
                <w:szCs w:val="18"/>
                <w:lang w:val="fr-BE"/>
              </w:rPr>
            </w:pPr>
          </w:p>
        </w:tc>
        <w:tc>
          <w:tcPr>
            <w:tcW w:w="1134" w:type="dxa"/>
            <w:noWrap/>
          </w:tcPr>
          <w:p w:rsidR="000765A3" w:rsidRPr="00CC6A4F" w:rsidRDefault="000765A3" w:rsidP="000765A3">
            <w:pPr>
              <w:spacing w:before="60" w:after="60" w:line="240" w:lineRule="auto"/>
              <w:jc w:val="both"/>
              <w:rPr>
                <w:rFonts w:ascii="Arial" w:hAnsi="Arial" w:cs="Arial"/>
                <w:b/>
                <w:sz w:val="18"/>
                <w:szCs w:val="18"/>
                <w:lang w:val="fr-BE"/>
              </w:rPr>
            </w:pPr>
          </w:p>
        </w:tc>
        <w:tc>
          <w:tcPr>
            <w:tcW w:w="992" w:type="dxa"/>
            <w:noWrap/>
          </w:tcPr>
          <w:p w:rsidR="000765A3" w:rsidRPr="00CC6A4F" w:rsidRDefault="000765A3" w:rsidP="000765A3">
            <w:pPr>
              <w:spacing w:before="60" w:after="60" w:line="240" w:lineRule="auto"/>
              <w:jc w:val="both"/>
              <w:rPr>
                <w:rFonts w:ascii="Arial" w:hAnsi="Arial" w:cs="Arial"/>
                <w:b/>
                <w:sz w:val="18"/>
                <w:szCs w:val="18"/>
                <w:lang w:val="fr-BE"/>
              </w:rPr>
            </w:pPr>
          </w:p>
        </w:tc>
        <w:tc>
          <w:tcPr>
            <w:tcW w:w="3676" w:type="dxa"/>
            <w:noWrap/>
          </w:tcPr>
          <w:p w:rsidR="000765A3" w:rsidRPr="00CC6A4F" w:rsidRDefault="000765A3" w:rsidP="000765A3">
            <w:pPr>
              <w:spacing w:before="60" w:after="60" w:line="240" w:lineRule="auto"/>
              <w:jc w:val="both"/>
              <w:rPr>
                <w:rFonts w:ascii="Arial" w:hAnsi="Arial" w:cs="Arial"/>
                <w:b/>
                <w:sz w:val="18"/>
                <w:szCs w:val="18"/>
                <w:lang w:val="fr-BE"/>
              </w:rPr>
            </w:pPr>
          </w:p>
        </w:tc>
      </w:tr>
    </w:tbl>
    <w:p w:rsidR="000765A3" w:rsidRDefault="000765A3" w:rsidP="00DC22DC">
      <w:pPr>
        <w:jc w:val="both"/>
        <w:rPr>
          <w:rFonts w:ascii="Arial" w:hAnsi="Arial" w:cs="Arial"/>
          <w:sz w:val="20"/>
          <w:szCs w:val="20"/>
          <w:lang w:val="fr-BE"/>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9214"/>
      </w:tblGrid>
      <w:tr w:rsidR="006101E3" w:rsidRPr="00CC6A4F" w:rsidTr="001E70CD">
        <w:trPr>
          <w:trHeight w:val="1283"/>
        </w:trPr>
        <w:tc>
          <w:tcPr>
            <w:tcW w:w="4644" w:type="dxa"/>
            <w:shd w:val="clear" w:color="auto" w:fill="BFBFBF" w:themeFill="background1" w:themeFillShade="BF"/>
            <w:noWrap/>
          </w:tcPr>
          <w:p w:rsidR="006101E3" w:rsidRPr="000214A5" w:rsidRDefault="006101E3" w:rsidP="00DC22DC">
            <w:pPr>
              <w:spacing w:before="60" w:after="60" w:line="240" w:lineRule="auto"/>
              <w:jc w:val="both"/>
              <w:rPr>
                <w:rFonts w:ascii="Arial" w:hAnsi="Arial" w:cs="Arial"/>
                <w:b/>
                <w:bCs/>
                <w:sz w:val="18"/>
                <w:szCs w:val="18"/>
                <w:lang w:val="fr-BE"/>
              </w:rPr>
            </w:pPr>
            <w:r w:rsidRPr="000214A5">
              <w:rPr>
                <w:rFonts w:ascii="Arial" w:hAnsi="Arial" w:cs="Arial"/>
                <w:b/>
                <w:bCs/>
                <w:sz w:val="18"/>
                <w:szCs w:val="18"/>
                <w:lang w:val="fr-BE"/>
              </w:rPr>
              <w:t>Parapher chaque assertion pour indiquer que la réponse d'audit prévue est suffisante pour atténuer le niveau de risque évalué et le risque significatif identifié.</w:t>
            </w:r>
          </w:p>
        </w:tc>
        <w:tc>
          <w:tcPr>
            <w:tcW w:w="9214" w:type="dxa"/>
            <w:tcBorders>
              <w:right w:val="single" w:sz="4" w:space="0" w:color="auto"/>
            </w:tcBorders>
            <w:noWrap/>
            <w:textDirection w:val="btLr"/>
          </w:tcPr>
          <w:p w:rsidR="006101E3" w:rsidRPr="000214A5" w:rsidRDefault="006101E3" w:rsidP="005E1DE9">
            <w:pPr>
              <w:spacing w:before="60" w:after="60" w:line="240" w:lineRule="auto"/>
              <w:ind w:left="113" w:right="113"/>
              <w:rPr>
                <w:rFonts w:ascii="Arial" w:hAnsi="Arial" w:cs="Arial"/>
                <w:sz w:val="18"/>
                <w:szCs w:val="18"/>
                <w:lang w:val="fr-BE"/>
              </w:rPr>
            </w:pPr>
          </w:p>
        </w:tc>
      </w:tr>
      <w:tr w:rsidR="00F67144" w:rsidRPr="00F5457B" w:rsidTr="00272860">
        <w:trPr>
          <w:trHeight w:val="1075"/>
        </w:trPr>
        <w:tc>
          <w:tcPr>
            <w:tcW w:w="13858" w:type="dxa"/>
            <w:gridSpan w:val="2"/>
            <w:noWrap/>
          </w:tcPr>
          <w:p w:rsidR="00F67144" w:rsidRPr="000214A5" w:rsidRDefault="00F67144" w:rsidP="005E1DE9">
            <w:pPr>
              <w:spacing w:before="60" w:after="60" w:line="240" w:lineRule="auto"/>
              <w:ind w:right="113"/>
              <w:rPr>
                <w:rFonts w:ascii="Arial" w:hAnsi="Arial" w:cs="Arial"/>
                <w:sz w:val="18"/>
                <w:szCs w:val="18"/>
                <w:lang w:val="fr-BE"/>
              </w:rPr>
            </w:pPr>
            <w:r w:rsidRPr="000214A5">
              <w:rPr>
                <w:rFonts w:ascii="Arial" w:hAnsi="Arial" w:cs="Arial"/>
                <w:b/>
                <w:bCs/>
                <w:sz w:val="18"/>
                <w:szCs w:val="18"/>
                <w:lang w:val="fr-BE"/>
              </w:rPr>
              <w:t>COMMENTAIRES</w:t>
            </w:r>
          </w:p>
        </w:tc>
      </w:tr>
    </w:tbl>
    <w:p w:rsidR="00F67144" w:rsidRDefault="00F67144">
      <w:pPr>
        <w:rPr>
          <w:rFonts w:ascii="Arial" w:hAnsi="Arial" w:cs="Arial"/>
          <w:sz w:val="20"/>
          <w:szCs w:val="20"/>
          <w:lang w:val="fr-BE"/>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3260"/>
        <w:gridCol w:w="1134"/>
        <w:gridCol w:w="3827"/>
      </w:tblGrid>
      <w:tr w:rsidR="0032510D" w:rsidRPr="00F5457B" w:rsidTr="00CF1314">
        <w:trPr>
          <w:trHeight w:val="353"/>
        </w:trPr>
        <w:tc>
          <w:tcPr>
            <w:tcW w:w="5671"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Préparé par</w:t>
            </w:r>
          </w:p>
        </w:tc>
        <w:tc>
          <w:tcPr>
            <w:tcW w:w="3260"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p>
        </w:tc>
        <w:tc>
          <w:tcPr>
            <w:tcW w:w="1134"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p>
        </w:tc>
      </w:tr>
      <w:tr w:rsidR="0032510D" w:rsidRPr="00F5457B" w:rsidTr="00CF1314">
        <w:trPr>
          <w:trHeight w:val="352"/>
        </w:trPr>
        <w:tc>
          <w:tcPr>
            <w:tcW w:w="5671"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r w:rsidRPr="00714880">
              <w:rPr>
                <w:rFonts w:ascii="Arial" w:hAnsi="Arial" w:cs="Arial"/>
                <w:sz w:val="20"/>
                <w:szCs w:val="20"/>
                <w:lang w:val="fr-BE" w:eastAsia="nl-BE"/>
              </w:rPr>
              <w:t>Revu</w:t>
            </w:r>
            <w:r w:rsidRPr="00F5457B">
              <w:rPr>
                <w:rFonts w:ascii="Arial" w:hAnsi="Arial" w:cs="Arial"/>
                <w:sz w:val="20"/>
                <w:szCs w:val="20"/>
                <w:lang w:val="fr-BE" w:eastAsia="nl-BE"/>
              </w:rPr>
              <w:t xml:space="preserve"> par l’associé responsable de la mission</w:t>
            </w:r>
          </w:p>
        </w:tc>
        <w:tc>
          <w:tcPr>
            <w:tcW w:w="3260"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p>
        </w:tc>
        <w:tc>
          <w:tcPr>
            <w:tcW w:w="1134"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p>
        </w:tc>
      </w:tr>
      <w:tr w:rsidR="0032510D" w:rsidRPr="00F5457B" w:rsidTr="00CF1314">
        <w:trPr>
          <w:trHeight w:val="352"/>
        </w:trPr>
        <w:tc>
          <w:tcPr>
            <w:tcW w:w="5671"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r w:rsidRPr="00714880">
              <w:rPr>
                <w:rFonts w:ascii="Arial" w:hAnsi="Arial" w:cs="Arial"/>
                <w:sz w:val="20"/>
                <w:szCs w:val="20"/>
                <w:lang w:val="fr-BE" w:eastAsia="nl-BE"/>
              </w:rPr>
              <w:t xml:space="preserve">Revu </w:t>
            </w:r>
            <w:r w:rsidRPr="00F5457B">
              <w:rPr>
                <w:rFonts w:ascii="Arial" w:hAnsi="Arial" w:cs="Arial"/>
                <w:sz w:val="20"/>
                <w:szCs w:val="20"/>
                <w:lang w:val="fr-BE" w:eastAsia="nl-BE"/>
              </w:rPr>
              <w:t>par le responsable contrôle qualité</w:t>
            </w:r>
          </w:p>
        </w:tc>
        <w:tc>
          <w:tcPr>
            <w:tcW w:w="3260"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p>
        </w:tc>
        <w:tc>
          <w:tcPr>
            <w:tcW w:w="1134"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32510D" w:rsidRPr="00F5457B" w:rsidRDefault="0032510D" w:rsidP="00E84753">
            <w:pPr>
              <w:tabs>
                <w:tab w:val="left" w:pos="7920"/>
              </w:tabs>
              <w:spacing w:before="60" w:after="60" w:line="240" w:lineRule="auto"/>
              <w:rPr>
                <w:rFonts w:ascii="Arial" w:hAnsi="Arial" w:cs="Arial"/>
                <w:sz w:val="20"/>
                <w:szCs w:val="20"/>
                <w:lang w:val="fr-BE" w:eastAsia="nl-BE"/>
              </w:rPr>
            </w:pPr>
          </w:p>
        </w:tc>
      </w:tr>
    </w:tbl>
    <w:p w:rsidR="0032510D" w:rsidRPr="000214A5" w:rsidRDefault="0032510D">
      <w:pPr>
        <w:rPr>
          <w:rFonts w:ascii="Arial" w:hAnsi="Arial" w:cs="Arial"/>
          <w:sz w:val="20"/>
          <w:szCs w:val="20"/>
          <w:lang w:val="fr-BE"/>
        </w:rPr>
      </w:pPr>
    </w:p>
    <w:sectPr w:rsidR="0032510D" w:rsidRPr="000214A5" w:rsidSect="00AB6A74">
      <w:headerReference w:type="default" r:id="rId8"/>
      <w:footerReference w:type="default" r:id="rId9"/>
      <w:pgSz w:w="15840" w:h="12240" w:orient="landscape"/>
      <w:pgMar w:top="1471" w:right="1440" w:bottom="568" w:left="1440" w:header="7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CF" w:rsidRDefault="002B3DCF" w:rsidP="00964980">
      <w:pPr>
        <w:spacing w:after="0" w:line="240" w:lineRule="auto"/>
      </w:pPr>
      <w:r>
        <w:separator/>
      </w:r>
    </w:p>
  </w:endnote>
  <w:endnote w:type="continuationSeparator" w:id="0">
    <w:p w:rsidR="002B3DCF" w:rsidRDefault="002B3DCF" w:rsidP="0096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A3" w:rsidRPr="004911A2" w:rsidRDefault="00FA2E87" w:rsidP="00F67144">
    <w:pPr>
      <w:pStyle w:val="Footer"/>
      <w:jc w:val="right"/>
      <w:rPr>
        <w:rFonts w:ascii="Arial" w:hAnsi="Arial" w:cs="Arial"/>
        <w:sz w:val="18"/>
        <w:szCs w:val="18"/>
      </w:rPr>
    </w:pPr>
    <w:r w:rsidRPr="004911A2">
      <w:rPr>
        <w:rStyle w:val="PageNumber"/>
        <w:rFonts w:ascii="Arial" w:hAnsi="Arial" w:cs="Arial"/>
        <w:sz w:val="18"/>
        <w:szCs w:val="18"/>
      </w:rPr>
      <w:fldChar w:fldCharType="begin"/>
    </w:r>
    <w:r w:rsidR="000765A3" w:rsidRPr="004911A2">
      <w:rPr>
        <w:rStyle w:val="PageNumber"/>
        <w:rFonts w:ascii="Arial" w:hAnsi="Arial" w:cs="Arial"/>
        <w:sz w:val="18"/>
        <w:szCs w:val="18"/>
      </w:rPr>
      <w:instrText xml:space="preserve"> PAGE </w:instrText>
    </w:r>
    <w:r w:rsidRPr="004911A2">
      <w:rPr>
        <w:rStyle w:val="PageNumber"/>
        <w:rFonts w:ascii="Arial" w:hAnsi="Arial" w:cs="Arial"/>
        <w:sz w:val="18"/>
        <w:szCs w:val="18"/>
      </w:rPr>
      <w:fldChar w:fldCharType="separate"/>
    </w:r>
    <w:r w:rsidR="00CC6A4F">
      <w:rPr>
        <w:rStyle w:val="PageNumber"/>
        <w:rFonts w:ascii="Arial" w:hAnsi="Arial" w:cs="Arial"/>
        <w:noProof/>
        <w:sz w:val="18"/>
        <w:szCs w:val="18"/>
      </w:rPr>
      <w:t>9</w:t>
    </w:r>
    <w:r w:rsidRPr="004911A2">
      <w:rPr>
        <w:rStyle w:val="PageNumber"/>
        <w:rFonts w:ascii="Arial" w:hAnsi="Arial" w:cs="Arial"/>
        <w:sz w:val="18"/>
        <w:szCs w:val="18"/>
      </w:rPr>
      <w:fldChar w:fldCharType="end"/>
    </w:r>
    <w:r w:rsidR="000765A3" w:rsidRPr="004911A2">
      <w:rPr>
        <w:rStyle w:val="PageNumber"/>
        <w:rFonts w:ascii="Arial" w:hAnsi="Arial" w:cs="Arial"/>
        <w:sz w:val="18"/>
        <w:szCs w:val="18"/>
      </w:rPr>
      <w:t>/</w:t>
    </w:r>
    <w:r w:rsidRPr="004911A2">
      <w:rPr>
        <w:rStyle w:val="PageNumber"/>
        <w:rFonts w:ascii="Arial" w:hAnsi="Arial" w:cs="Arial"/>
        <w:sz w:val="18"/>
        <w:szCs w:val="18"/>
      </w:rPr>
      <w:fldChar w:fldCharType="begin"/>
    </w:r>
    <w:r w:rsidR="000765A3" w:rsidRPr="004911A2">
      <w:rPr>
        <w:rStyle w:val="PageNumber"/>
        <w:rFonts w:ascii="Arial" w:hAnsi="Arial" w:cs="Arial"/>
        <w:sz w:val="18"/>
        <w:szCs w:val="18"/>
      </w:rPr>
      <w:instrText xml:space="preserve"> NUMPAGES </w:instrText>
    </w:r>
    <w:r w:rsidRPr="004911A2">
      <w:rPr>
        <w:rStyle w:val="PageNumber"/>
        <w:rFonts w:ascii="Arial" w:hAnsi="Arial" w:cs="Arial"/>
        <w:sz w:val="18"/>
        <w:szCs w:val="18"/>
      </w:rPr>
      <w:fldChar w:fldCharType="separate"/>
    </w:r>
    <w:r w:rsidR="00CC6A4F">
      <w:rPr>
        <w:rStyle w:val="PageNumber"/>
        <w:rFonts w:ascii="Arial" w:hAnsi="Arial" w:cs="Arial"/>
        <w:noProof/>
        <w:sz w:val="18"/>
        <w:szCs w:val="18"/>
      </w:rPr>
      <w:t>9</w:t>
    </w:r>
    <w:r w:rsidRPr="004911A2">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CF" w:rsidRDefault="002B3DCF" w:rsidP="00964980">
      <w:pPr>
        <w:spacing w:after="0" w:line="240" w:lineRule="auto"/>
      </w:pPr>
      <w:r>
        <w:separator/>
      </w:r>
    </w:p>
  </w:footnote>
  <w:footnote w:type="continuationSeparator" w:id="0">
    <w:p w:rsidR="002B3DCF" w:rsidRDefault="002B3DCF" w:rsidP="00964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A3" w:rsidRDefault="000765A3" w:rsidP="00A260BA">
    <w:pPr>
      <w:pStyle w:val="Header"/>
      <w:rPr>
        <w:rFonts w:ascii="Arial" w:hAnsi="Arial" w:cs="Arial"/>
        <w:b/>
        <w:sz w:val="24"/>
        <w:szCs w:val="24"/>
        <w:lang w:val="fr-BE"/>
      </w:rPr>
    </w:pPr>
    <w:r w:rsidRPr="00714880">
      <w:rPr>
        <w:rFonts w:ascii="Arial" w:hAnsi="Arial" w:cs="Arial"/>
        <w:b/>
        <w:sz w:val="24"/>
        <w:szCs w:val="24"/>
        <w:lang w:val="fr-BE"/>
      </w:rPr>
      <w:t>Check-list B2</w:t>
    </w:r>
    <w:r>
      <w:rPr>
        <w:rFonts w:ascii="Arial" w:hAnsi="Arial" w:cs="Arial"/>
        <w:b/>
        <w:sz w:val="24"/>
        <w:szCs w:val="24"/>
        <w:lang w:val="fr-BE"/>
      </w:rPr>
      <w:t xml:space="preserve"> </w:t>
    </w:r>
    <w:r w:rsidRPr="00714880">
      <w:rPr>
        <w:rFonts w:ascii="Arial" w:hAnsi="Arial" w:cs="Arial"/>
        <w:b/>
        <w:sz w:val="24"/>
        <w:szCs w:val="24"/>
        <w:lang w:val="fr-BE"/>
      </w:rPr>
      <w:t>: Plan d’audit détaillé des achats</w:t>
    </w:r>
    <w:r>
      <w:rPr>
        <w:rFonts w:ascii="Arial" w:hAnsi="Arial" w:cs="Arial"/>
        <w:sz w:val="24"/>
        <w:szCs w:val="24"/>
        <w:lang w:val="fr-BE"/>
      </w:rPr>
      <w:t xml:space="preserve">                    </w:t>
    </w:r>
    <w:r>
      <w:rPr>
        <w:rFonts w:ascii="Arial" w:hAnsi="Arial" w:cs="Arial"/>
        <w:b/>
        <w:sz w:val="24"/>
        <w:szCs w:val="24"/>
        <w:lang w:val="fr-BE"/>
      </w:rPr>
      <w:t xml:space="preserve">Seuil de signification global € …….  </w:t>
    </w:r>
  </w:p>
  <w:p w:rsidR="000765A3" w:rsidRPr="002C3F43" w:rsidRDefault="000765A3" w:rsidP="0032510D">
    <w:pPr>
      <w:pStyle w:val="Header"/>
      <w:ind w:left="6480" w:right="-540"/>
      <w:rPr>
        <w:rFonts w:ascii="Arial" w:hAnsi="Arial" w:cs="Arial"/>
        <w:b/>
        <w:sz w:val="24"/>
        <w:szCs w:val="24"/>
        <w:lang w:val="fr-BE"/>
      </w:rPr>
    </w:pPr>
    <w:r>
      <w:rPr>
        <w:rFonts w:ascii="Arial" w:hAnsi="Arial" w:cs="Arial"/>
        <w:b/>
        <w:sz w:val="24"/>
        <w:szCs w:val="24"/>
        <w:lang w:val="fr-BE"/>
      </w:rPr>
      <w:t xml:space="preserve">  Seuil de signification pour la réalisation des travaux €…….</w:t>
    </w:r>
  </w:p>
  <w:p w:rsidR="000765A3" w:rsidRPr="009E35DB" w:rsidRDefault="000765A3">
    <w:pPr>
      <w:pStyle w:val="Header"/>
      <w:rPr>
        <w:rFonts w:ascii="Arial" w:hAnsi="Arial" w:cs="Arial"/>
        <w:sz w:val="24"/>
        <w:szCs w:val="24"/>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10"/>
    <w:multiLevelType w:val="hybridMultilevel"/>
    <w:tmpl w:val="CEDC8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2D19"/>
    <w:multiLevelType w:val="hybridMultilevel"/>
    <w:tmpl w:val="C290AA96"/>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72DCD"/>
    <w:multiLevelType w:val="hybridMultilevel"/>
    <w:tmpl w:val="76D8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6751C"/>
    <w:multiLevelType w:val="hybridMultilevel"/>
    <w:tmpl w:val="1D022FC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085E24A7"/>
    <w:multiLevelType w:val="hybridMultilevel"/>
    <w:tmpl w:val="14CC3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575BC"/>
    <w:multiLevelType w:val="hybridMultilevel"/>
    <w:tmpl w:val="14CE860C"/>
    <w:lvl w:ilvl="0" w:tplc="34DC5312">
      <w:start w:val="1"/>
      <w:numFmt w:val="decimal"/>
      <w:lvlText w:val="%1."/>
      <w:lvlJc w:val="left"/>
      <w:pPr>
        <w:ind w:left="360" w:hanging="360"/>
      </w:pPr>
      <w:rPr>
        <w:rFonts w:cs="Times New Roman" w:hint="default"/>
      </w:rPr>
    </w:lvl>
    <w:lvl w:ilvl="1" w:tplc="EF84349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FDE7685"/>
    <w:multiLevelType w:val="hybridMultilevel"/>
    <w:tmpl w:val="2DF0A0B0"/>
    <w:lvl w:ilvl="0" w:tplc="F5A8F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568EF"/>
    <w:multiLevelType w:val="hybridMultilevel"/>
    <w:tmpl w:val="C4687C42"/>
    <w:lvl w:ilvl="0" w:tplc="B04E3394">
      <w:start w:val="1"/>
      <w:numFmt w:val="lowerLetter"/>
      <w:lvlText w:val="%1."/>
      <w:lvlJc w:val="left"/>
      <w:pPr>
        <w:ind w:left="360" w:hanging="360"/>
      </w:pPr>
      <w:rPr>
        <w:rFonts w:cs="Times New Roman" w:hint="default"/>
        <w:b/>
        <w:i/>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785465"/>
    <w:multiLevelType w:val="hybridMultilevel"/>
    <w:tmpl w:val="4D52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A077D4"/>
    <w:multiLevelType w:val="hybridMultilevel"/>
    <w:tmpl w:val="9470F400"/>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6505E"/>
    <w:multiLevelType w:val="hybridMultilevel"/>
    <w:tmpl w:val="C970690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872B1D"/>
    <w:multiLevelType w:val="hybridMultilevel"/>
    <w:tmpl w:val="54CC89FA"/>
    <w:lvl w:ilvl="0" w:tplc="A26EC9A2">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B68151A"/>
    <w:multiLevelType w:val="hybridMultilevel"/>
    <w:tmpl w:val="6D38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037F4B"/>
    <w:multiLevelType w:val="hybridMultilevel"/>
    <w:tmpl w:val="8C88DD9A"/>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7B6D6E"/>
    <w:multiLevelType w:val="hybridMultilevel"/>
    <w:tmpl w:val="8B76ACBA"/>
    <w:lvl w:ilvl="0" w:tplc="EA0092BC">
      <w:start w:val="1"/>
      <w:numFmt w:val="upperLetter"/>
      <w:lvlText w:val="%1."/>
      <w:lvlJc w:val="left"/>
      <w:pPr>
        <w:ind w:left="720" w:hanging="360"/>
      </w:pPr>
      <w:rPr>
        <w:rFonts w:hint="default"/>
        <w:lang w:val="en-U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BD66571"/>
    <w:multiLevelType w:val="hybridMultilevel"/>
    <w:tmpl w:val="522CBEB4"/>
    <w:lvl w:ilvl="0" w:tplc="9FB67C78">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C5F6677"/>
    <w:multiLevelType w:val="hybridMultilevel"/>
    <w:tmpl w:val="4C84DB18"/>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064A9"/>
    <w:multiLevelType w:val="hybridMultilevel"/>
    <w:tmpl w:val="C486EAA6"/>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E261BB"/>
    <w:multiLevelType w:val="hybridMultilevel"/>
    <w:tmpl w:val="07D0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4792B"/>
    <w:multiLevelType w:val="hybridMultilevel"/>
    <w:tmpl w:val="88BAAB2E"/>
    <w:lvl w:ilvl="0" w:tplc="F5A8F104">
      <w:start w:val="1"/>
      <w:numFmt w:val="bullet"/>
      <w:lvlText w:val=""/>
      <w:lvlJc w:val="left"/>
      <w:pPr>
        <w:ind w:left="720" w:hanging="360"/>
      </w:pPr>
      <w:rPr>
        <w:rFonts w:ascii="Symbol" w:hAnsi="Symbol" w:hint="default"/>
      </w:rPr>
    </w:lvl>
    <w:lvl w:ilvl="1" w:tplc="F5A8F10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0263E"/>
    <w:multiLevelType w:val="hybridMultilevel"/>
    <w:tmpl w:val="C1A69F8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364A8F"/>
    <w:multiLevelType w:val="hybridMultilevel"/>
    <w:tmpl w:val="274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91017"/>
    <w:multiLevelType w:val="hybridMultilevel"/>
    <w:tmpl w:val="C512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EA623B"/>
    <w:multiLevelType w:val="hybridMultilevel"/>
    <w:tmpl w:val="A8069C2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BCE0188"/>
    <w:multiLevelType w:val="hybridMultilevel"/>
    <w:tmpl w:val="B87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65247"/>
    <w:multiLevelType w:val="hybridMultilevel"/>
    <w:tmpl w:val="8360775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D35272"/>
    <w:multiLevelType w:val="hybridMultilevel"/>
    <w:tmpl w:val="4CE2D04E"/>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975D17"/>
    <w:multiLevelType w:val="hybridMultilevel"/>
    <w:tmpl w:val="E72C1880"/>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75855"/>
    <w:multiLevelType w:val="hybridMultilevel"/>
    <w:tmpl w:val="6B36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F217B7"/>
    <w:multiLevelType w:val="hybridMultilevel"/>
    <w:tmpl w:val="F00A660C"/>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413F44"/>
    <w:multiLevelType w:val="hybridMultilevel"/>
    <w:tmpl w:val="B3844EBE"/>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8D4963"/>
    <w:multiLevelType w:val="hybridMultilevel"/>
    <w:tmpl w:val="A55EA1FE"/>
    <w:lvl w:ilvl="0" w:tplc="01EAF08A">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A6500E0"/>
    <w:multiLevelType w:val="hybridMultilevel"/>
    <w:tmpl w:val="6960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3A3C91"/>
    <w:multiLevelType w:val="hybridMultilevel"/>
    <w:tmpl w:val="7EB8C6B8"/>
    <w:lvl w:ilvl="0" w:tplc="0DB077C4">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23"/>
  </w:num>
  <w:num w:numId="4">
    <w:abstractNumId w:val="18"/>
  </w:num>
  <w:num w:numId="5">
    <w:abstractNumId w:val="2"/>
  </w:num>
  <w:num w:numId="6">
    <w:abstractNumId w:val="24"/>
  </w:num>
  <w:num w:numId="7">
    <w:abstractNumId w:val="21"/>
  </w:num>
  <w:num w:numId="8">
    <w:abstractNumId w:val="15"/>
  </w:num>
  <w:num w:numId="9">
    <w:abstractNumId w:val="12"/>
  </w:num>
  <w:num w:numId="10">
    <w:abstractNumId w:val="9"/>
  </w:num>
  <w:num w:numId="11">
    <w:abstractNumId w:val="1"/>
  </w:num>
  <w:num w:numId="12">
    <w:abstractNumId w:val="6"/>
  </w:num>
  <w:num w:numId="13">
    <w:abstractNumId w:val="10"/>
  </w:num>
  <w:num w:numId="14">
    <w:abstractNumId w:val="22"/>
  </w:num>
  <w:num w:numId="15">
    <w:abstractNumId w:val="4"/>
  </w:num>
  <w:num w:numId="16">
    <w:abstractNumId w:val="27"/>
  </w:num>
  <w:num w:numId="17">
    <w:abstractNumId w:val="28"/>
  </w:num>
  <w:num w:numId="18">
    <w:abstractNumId w:val="31"/>
  </w:num>
  <w:num w:numId="19">
    <w:abstractNumId w:val="29"/>
  </w:num>
  <w:num w:numId="20">
    <w:abstractNumId w:val="32"/>
  </w:num>
  <w:num w:numId="21">
    <w:abstractNumId w:val="8"/>
  </w:num>
  <w:num w:numId="22">
    <w:abstractNumId w:val="33"/>
  </w:num>
  <w:num w:numId="23">
    <w:abstractNumId w:val="7"/>
  </w:num>
  <w:num w:numId="24">
    <w:abstractNumId w:val="11"/>
  </w:num>
  <w:num w:numId="25">
    <w:abstractNumId w:val="0"/>
  </w:num>
  <w:num w:numId="26">
    <w:abstractNumId w:val="19"/>
  </w:num>
  <w:num w:numId="27">
    <w:abstractNumId w:val="16"/>
  </w:num>
  <w:num w:numId="28">
    <w:abstractNumId w:val="26"/>
  </w:num>
  <w:num w:numId="29">
    <w:abstractNumId w:val="20"/>
  </w:num>
  <w:num w:numId="30">
    <w:abstractNumId w:val="25"/>
  </w:num>
  <w:num w:numId="31">
    <w:abstractNumId w:val="17"/>
  </w:num>
  <w:num w:numId="32">
    <w:abstractNumId w:val="30"/>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3FD9"/>
    <w:rsid w:val="000064D8"/>
    <w:rsid w:val="0001012C"/>
    <w:rsid w:val="000214A5"/>
    <w:rsid w:val="000765A3"/>
    <w:rsid w:val="000F5287"/>
    <w:rsid w:val="000F53F0"/>
    <w:rsid w:val="001217FC"/>
    <w:rsid w:val="00195B1F"/>
    <w:rsid w:val="001A39CE"/>
    <w:rsid w:val="001C326A"/>
    <w:rsid w:val="001C6EB8"/>
    <w:rsid w:val="001F5E38"/>
    <w:rsid w:val="002334E3"/>
    <w:rsid w:val="002567E8"/>
    <w:rsid w:val="00272860"/>
    <w:rsid w:val="00286EFB"/>
    <w:rsid w:val="00296072"/>
    <w:rsid w:val="002978D3"/>
    <w:rsid w:val="002B3462"/>
    <w:rsid w:val="002B3AE6"/>
    <w:rsid w:val="002B3DCF"/>
    <w:rsid w:val="002C3F43"/>
    <w:rsid w:val="002E0B99"/>
    <w:rsid w:val="002E5E6E"/>
    <w:rsid w:val="002F20BB"/>
    <w:rsid w:val="0030125A"/>
    <w:rsid w:val="0030147D"/>
    <w:rsid w:val="0032510D"/>
    <w:rsid w:val="00346811"/>
    <w:rsid w:val="00346B1B"/>
    <w:rsid w:val="00363B8E"/>
    <w:rsid w:val="00365D50"/>
    <w:rsid w:val="00367EE8"/>
    <w:rsid w:val="003744CD"/>
    <w:rsid w:val="00382C26"/>
    <w:rsid w:val="003B26F6"/>
    <w:rsid w:val="003C3D98"/>
    <w:rsid w:val="00433B22"/>
    <w:rsid w:val="004911A2"/>
    <w:rsid w:val="004C373B"/>
    <w:rsid w:val="004D016D"/>
    <w:rsid w:val="004E5432"/>
    <w:rsid w:val="004E564F"/>
    <w:rsid w:val="00512FA5"/>
    <w:rsid w:val="00514E9B"/>
    <w:rsid w:val="00544FB5"/>
    <w:rsid w:val="00583932"/>
    <w:rsid w:val="005E1DE9"/>
    <w:rsid w:val="005F7AA1"/>
    <w:rsid w:val="0060131B"/>
    <w:rsid w:val="006101E3"/>
    <w:rsid w:val="006243F4"/>
    <w:rsid w:val="00651AB7"/>
    <w:rsid w:val="00677431"/>
    <w:rsid w:val="00677961"/>
    <w:rsid w:val="006869D9"/>
    <w:rsid w:val="006C6235"/>
    <w:rsid w:val="006F5FAE"/>
    <w:rsid w:val="00714880"/>
    <w:rsid w:val="007204BE"/>
    <w:rsid w:val="007311CB"/>
    <w:rsid w:val="00745EA2"/>
    <w:rsid w:val="0074746B"/>
    <w:rsid w:val="00766D39"/>
    <w:rsid w:val="00773E65"/>
    <w:rsid w:val="00776B5E"/>
    <w:rsid w:val="007F3A05"/>
    <w:rsid w:val="00802C65"/>
    <w:rsid w:val="008603FD"/>
    <w:rsid w:val="00880ADA"/>
    <w:rsid w:val="008855CC"/>
    <w:rsid w:val="008A0CE2"/>
    <w:rsid w:val="008A3396"/>
    <w:rsid w:val="008E0D12"/>
    <w:rsid w:val="00913FD9"/>
    <w:rsid w:val="009226A9"/>
    <w:rsid w:val="00924E2B"/>
    <w:rsid w:val="00926E7B"/>
    <w:rsid w:val="00932743"/>
    <w:rsid w:val="00942BA4"/>
    <w:rsid w:val="00942C81"/>
    <w:rsid w:val="009507E3"/>
    <w:rsid w:val="00961136"/>
    <w:rsid w:val="00962DDB"/>
    <w:rsid w:val="00964980"/>
    <w:rsid w:val="00976D4C"/>
    <w:rsid w:val="009A069A"/>
    <w:rsid w:val="009E35DB"/>
    <w:rsid w:val="00A260BA"/>
    <w:rsid w:val="00A32B21"/>
    <w:rsid w:val="00A41E32"/>
    <w:rsid w:val="00A87788"/>
    <w:rsid w:val="00A9177E"/>
    <w:rsid w:val="00A91AF9"/>
    <w:rsid w:val="00AB6A74"/>
    <w:rsid w:val="00AD389E"/>
    <w:rsid w:val="00AF7C16"/>
    <w:rsid w:val="00B21C48"/>
    <w:rsid w:val="00B411D1"/>
    <w:rsid w:val="00B529B5"/>
    <w:rsid w:val="00BC44E5"/>
    <w:rsid w:val="00BD53E4"/>
    <w:rsid w:val="00BE1A35"/>
    <w:rsid w:val="00C03B7A"/>
    <w:rsid w:val="00C47667"/>
    <w:rsid w:val="00C53026"/>
    <w:rsid w:val="00C54B52"/>
    <w:rsid w:val="00C86081"/>
    <w:rsid w:val="00C978D7"/>
    <w:rsid w:val="00CA6B80"/>
    <w:rsid w:val="00CC16F8"/>
    <w:rsid w:val="00CC6A4F"/>
    <w:rsid w:val="00CC77BC"/>
    <w:rsid w:val="00CD1BE8"/>
    <w:rsid w:val="00CF1314"/>
    <w:rsid w:val="00D20595"/>
    <w:rsid w:val="00D2320F"/>
    <w:rsid w:val="00D26D8D"/>
    <w:rsid w:val="00DB2F4D"/>
    <w:rsid w:val="00DC22DC"/>
    <w:rsid w:val="00DC78AF"/>
    <w:rsid w:val="00E53BA0"/>
    <w:rsid w:val="00E61BF0"/>
    <w:rsid w:val="00E84753"/>
    <w:rsid w:val="00EB5AAD"/>
    <w:rsid w:val="00F133B6"/>
    <w:rsid w:val="00F247F6"/>
    <w:rsid w:val="00F24F39"/>
    <w:rsid w:val="00F366C8"/>
    <w:rsid w:val="00F40D1F"/>
    <w:rsid w:val="00F5457B"/>
    <w:rsid w:val="00F67144"/>
    <w:rsid w:val="00F957ED"/>
    <w:rsid w:val="00FA2E87"/>
    <w:rsid w:val="00FC007A"/>
    <w:rsid w:val="00FE13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773E65"/>
    <w:pPr>
      <w:spacing w:before="240" w:after="240" w:line="240" w:lineRule="auto"/>
    </w:pPr>
    <w:rPr>
      <w:rFonts w:ascii="Arial" w:hAnsi="Arial" w:cs="Arial"/>
      <w:b/>
      <w:spacing w:val="-5"/>
      <w:sz w:val="20"/>
      <w:szCs w:val="20"/>
      <w:lang w:val="nl-BE"/>
    </w:rPr>
  </w:style>
  <w:style w:type="table" w:styleId="TableGrid">
    <w:name w:val="Table Grid"/>
    <w:basedOn w:val="TableNormal"/>
    <w:uiPriority w:val="99"/>
    <w:rsid w:val="00913FD9"/>
    <w:pPr>
      <w:spacing w:after="0" w:line="240" w:lineRule="auto"/>
    </w:pPr>
    <w:rPr>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3FD9"/>
    <w:pPr>
      <w:ind w:left="720"/>
      <w:contextualSpacing/>
    </w:pPr>
  </w:style>
  <w:style w:type="paragraph" w:styleId="Header">
    <w:name w:val="header"/>
    <w:basedOn w:val="Normal"/>
    <w:link w:val="HeaderChar"/>
    <w:uiPriority w:val="99"/>
    <w:rsid w:val="009649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4980"/>
    <w:rPr>
      <w:rFonts w:cs="Times New Roman"/>
    </w:rPr>
  </w:style>
  <w:style w:type="paragraph" w:styleId="Footer">
    <w:name w:val="footer"/>
    <w:basedOn w:val="Normal"/>
    <w:link w:val="FooterChar"/>
    <w:uiPriority w:val="99"/>
    <w:rsid w:val="009649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4980"/>
    <w:rPr>
      <w:rFonts w:cs="Times New Roman"/>
    </w:rPr>
  </w:style>
  <w:style w:type="paragraph" w:styleId="BalloonText">
    <w:name w:val="Balloon Text"/>
    <w:basedOn w:val="Normal"/>
    <w:link w:val="BalloonTextChar"/>
    <w:uiPriority w:val="99"/>
    <w:semiHidden/>
    <w:rsid w:val="00DC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2DC"/>
    <w:rPr>
      <w:rFonts w:ascii="Tahoma" w:hAnsi="Tahoma" w:cs="Tahoma"/>
      <w:sz w:val="16"/>
      <w:szCs w:val="16"/>
    </w:rPr>
  </w:style>
  <w:style w:type="character" w:styleId="PageNumber">
    <w:name w:val="page number"/>
    <w:basedOn w:val="DefaultParagraphFont"/>
    <w:uiPriority w:val="99"/>
    <w:rsid w:val="00D232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773E65"/>
    <w:pPr>
      <w:spacing w:before="240" w:after="240" w:line="240" w:lineRule="auto"/>
    </w:pPr>
    <w:rPr>
      <w:rFonts w:ascii="Arial" w:hAnsi="Arial" w:cs="Arial"/>
      <w:b/>
      <w:spacing w:val="-5"/>
      <w:sz w:val="20"/>
      <w:szCs w:val="20"/>
      <w:lang w:val="nl-BE"/>
    </w:rPr>
  </w:style>
  <w:style w:type="table" w:styleId="TableGrid">
    <w:name w:val="Table Grid"/>
    <w:basedOn w:val="TableNormal"/>
    <w:uiPriority w:val="99"/>
    <w:rsid w:val="00913FD9"/>
    <w:pPr>
      <w:spacing w:after="0" w:line="240" w:lineRule="auto"/>
    </w:pPr>
    <w:rPr>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3FD9"/>
    <w:pPr>
      <w:ind w:left="720"/>
      <w:contextualSpacing/>
    </w:pPr>
  </w:style>
  <w:style w:type="paragraph" w:styleId="Header">
    <w:name w:val="header"/>
    <w:basedOn w:val="Normal"/>
    <w:link w:val="HeaderChar"/>
    <w:uiPriority w:val="99"/>
    <w:rsid w:val="009649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4980"/>
    <w:rPr>
      <w:rFonts w:cs="Times New Roman"/>
    </w:rPr>
  </w:style>
  <w:style w:type="paragraph" w:styleId="Footer">
    <w:name w:val="footer"/>
    <w:basedOn w:val="Normal"/>
    <w:link w:val="FooterChar"/>
    <w:uiPriority w:val="99"/>
    <w:rsid w:val="009649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4980"/>
    <w:rPr>
      <w:rFonts w:cs="Times New Roman"/>
    </w:rPr>
  </w:style>
  <w:style w:type="paragraph" w:styleId="BalloonText">
    <w:name w:val="Balloon Text"/>
    <w:basedOn w:val="Normal"/>
    <w:link w:val="BalloonTextChar"/>
    <w:uiPriority w:val="99"/>
    <w:semiHidden/>
    <w:rsid w:val="00DC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2DC"/>
    <w:rPr>
      <w:rFonts w:ascii="Tahoma" w:hAnsi="Tahoma" w:cs="Tahoma"/>
      <w:sz w:val="16"/>
      <w:szCs w:val="16"/>
    </w:rPr>
  </w:style>
  <w:style w:type="character" w:styleId="PageNumber">
    <w:name w:val="page number"/>
    <w:basedOn w:val="DefaultParagraphFont"/>
    <w:uiPriority w:val="99"/>
    <w:rsid w:val="00D232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09304">
      <w:marLeft w:val="0"/>
      <w:marRight w:val="0"/>
      <w:marTop w:val="0"/>
      <w:marBottom w:val="0"/>
      <w:divBdr>
        <w:top w:val="none" w:sz="0" w:space="0" w:color="auto"/>
        <w:left w:val="none" w:sz="0" w:space="0" w:color="auto"/>
        <w:bottom w:val="none" w:sz="0" w:space="0" w:color="auto"/>
        <w:right w:val="none" w:sz="0" w:space="0" w:color="auto"/>
      </w:divBdr>
    </w:div>
    <w:div w:id="1565409305">
      <w:marLeft w:val="0"/>
      <w:marRight w:val="0"/>
      <w:marTop w:val="0"/>
      <w:marBottom w:val="0"/>
      <w:divBdr>
        <w:top w:val="none" w:sz="0" w:space="0" w:color="auto"/>
        <w:left w:val="none" w:sz="0" w:space="0" w:color="auto"/>
        <w:bottom w:val="none" w:sz="0" w:space="0" w:color="auto"/>
        <w:right w:val="none" w:sz="0" w:space="0" w:color="auto"/>
      </w:divBdr>
    </w:div>
    <w:div w:id="1565409306">
      <w:marLeft w:val="0"/>
      <w:marRight w:val="0"/>
      <w:marTop w:val="0"/>
      <w:marBottom w:val="0"/>
      <w:divBdr>
        <w:top w:val="none" w:sz="0" w:space="0" w:color="auto"/>
        <w:left w:val="none" w:sz="0" w:space="0" w:color="auto"/>
        <w:bottom w:val="none" w:sz="0" w:space="0" w:color="auto"/>
        <w:right w:val="none" w:sz="0" w:space="0" w:color="auto"/>
      </w:divBdr>
    </w:div>
    <w:div w:id="1565409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90359a4a-3ee0-4d21-9975-9d02abdd1639">MPT7ECPAHCR6-758363236-72</_dlc_DocId>
    <_dlc_DocIdUrl xmlns="90359a4a-3ee0-4d21-9975-9d02abdd1639">
      <Url>https://doc.icci.be/fr/_layouts/15/DocIdRedir.aspx?ID=MPT7ECPAHCR6-758363236-72</Url>
      <Description>MPT7ECPAHCR6-758363236-72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BD807-49BA-427D-96C4-2F7B11EB1414}"/>
</file>

<file path=customXml/itemProps2.xml><?xml version="1.0" encoding="utf-8"?>
<ds:datastoreItem xmlns:ds="http://schemas.openxmlformats.org/officeDocument/2006/customXml" ds:itemID="{BEC59CD7-CAB3-4CFF-9A5C-AA02A330EB6E}"/>
</file>

<file path=customXml/itemProps3.xml><?xml version="1.0" encoding="utf-8"?>
<ds:datastoreItem xmlns:ds="http://schemas.openxmlformats.org/officeDocument/2006/customXml" ds:itemID="{96E1735D-53C0-4719-9F1E-91B133ED836F}"/>
</file>

<file path=customXml/itemProps4.xml><?xml version="1.0" encoding="utf-8"?>
<ds:datastoreItem xmlns:ds="http://schemas.openxmlformats.org/officeDocument/2006/customXml" ds:itemID="{3C84A625-E9B9-484B-9CC8-0180A8964A4B}"/>
</file>

<file path=docProps/app.xml><?xml version="1.0" encoding="utf-8"?>
<Properties xmlns="http://schemas.openxmlformats.org/officeDocument/2006/extended-properties" xmlns:vt="http://schemas.openxmlformats.org/officeDocument/2006/docPropsVTypes">
  <Template>Normal.dotm</Template>
  <TotalTime>0</TotalTime>
  <Pages>9</Pages>
  <Words>1284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Interimair 2</dc:creator>
  <cp:keywords/>
  <dc:description/>
  <cp:lastModifiedBy>Snaps Christiane</cp:lastModifiedBy>
  <cp:revision>4</cp:revision>
  <cp:lastPrinted>2011-12-20T08:15:00Z</cp:lastPrinted>
  <dcterms:created xsi:type="dcterms:W3CDTF">2011-12-20T08:19:00Z</dcterms:created>
  <dcterms:modified xsi:type="dcterms:W3CDTF">2012-01-03T11:49:00Z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561c673c-7aa1-478e-9b1e-11971e619c20</vt:lpwstr>
  </property>
  <property fmtid="{D5CDD505-2E9C-101B-9397-08002B2CF9AE}" pid="4" name="URL">
    <vt:lpwstr/>
  </property>
  <property fmtid="{D5CDD505-2E9C-101B-9397-08002B2CF9AE}" pid="5" name="DocumentSetDescription">
    <vt:lpwstr/>
  </property>
</Properties>
</file>