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EF56" w14:textId="77777777" w:rsidR="006611F7" w:rsidRPr="00365CDB" w:rsidRDefault="003E0FDB" w:rsidP="00365CD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ANNEXE</w:t>
      </w:r>
      <w:r w:rsidR="001902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272D">
        <w:rPr>
          <w:rFonts w:ascii="Times New Roman" w:hAnsi="Times New Roman" w:cs="Times New Roman"/>
          <w:sz w:val="24"/>
          <w:szCs w:val="24"/>
          <w:lang w:val="fr-FR"/>
        </w:rPr>
        <w:t>8</w:t>
      </w:r>
    </w:p>
    <w:p w14:paraId="249CEF57" w14:textId="77777777" w:rsidR="00365CDB" w:rsidRPr="00DE2864" w:rsidRDefault="00D914E0" w:rsidP="00365CD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="00C36BDB">
        <w:rPr>
          <w:rFonts w:ascii="Times New Roman" w:hAnsi="Times New Roman"/>
          <w:b/>
          <w:sz w:val="24"/>
          <w:szCs w:val="24"/>
          <w:lang w:val="fr-FR"/>
        </w:rPr>
        <w:t>élection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r</w:t>
      </w:r>
      <w:r w:rsidR="00365CDB" w:rsidRPr="00DE2864">
        <w:rPr>
          <w:rFonts w:ascii="Times New Roman" w:hAnsi="Times New Roman"/>
          <w:b/>
          <w:sz w:val="24"/>
          <w:szCs w:val="24"/>
          <w:lang w:val="fr-FR"/>
        </w:rPr>
        <w:t>éférences au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 xml:space="preserve"> rapport du commissaire dans le</w:t>
      </w:r>
      <w:r w:rsidR="00365CDB" w:rsidRPr="00DE286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C17FF" w:rsidRPr="001E138C">
        <w:rPr>
          <w:rFonts w:ascii="Times New Roman" w:hAnsi="Times New Roman"/>
          <w:b/>
          <w:sz w:val="24"/>
          <w:szCs w:val="24"/>
          <w:lang w:val="fr-FR"/>
        </w:rPr>
        <w:t>Vadémécum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les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avis</w:t>
      </w:r>
      <w:r w:rsidR="00365CDB">
        <w:rPr>
          <w:rFonts w:ascii="Times New Roman" w:hAnsi="Times New Roman"/>
          <w:b/>
          <w:sz w:val="24"/>
          <w:szCs w:val="24"/>
          <w:lang w:val="fr-FR"/>
        </w:rPr>
        <w:t>,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65CDB">
        <w:rPr>
          <w:rFonts w:ascii="Times New Roman" w:hAnsi="Times New Roman"/>
          <w:b/>
          <w:sz w:val="24"/>
          <w:szCs w:val="24"/>
          <w:lang w:val="fr-FR"/>
        </w:rPr>
        <w:t xml:space="preserve">circulaires et communications 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émis par l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Institut des Réviseurs d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>Entreprises</w:t>
      </w:r>
      <w:r w:rsidR="0099054C">
        <w:rPr>
          <w:rFonts w:ascii="Times New Roman" w:hAnsi="Times New Roman"/>
          <w:b/>
          <w:sz w:val="24"/>
          <w:szCs w:val="24"/>
          <w:lang w:val="fr-FR"/>
        </w:rPr>
        <w:t>,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 xml:space="preserve"> ainsi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que </w:t>
      </w:r>
      <w:r w:rsidR="0099054C">
        <w:rPr>
          <w:rFonts w:ascii="Times New Roman" w:hAnsi="Times New Roman"/>
          <w:b/>
          <w:sz w:val="24"/>
          <w:szCs w:val="24"/>
          <w:lang w:val="fr-FR"/>
        </w:rPr>
        <w:t xml:space="preserve">de </w:t>
      </w:r>
      <w:r w:rsidR="00146E2A">
        <w:rPr>
          <w:rFonts w:ascii="Times New Roman" w:hAnsi="Times New Roman"/>
          <w:b/>
          <w:sz w:val="24"/>
          <w:szCs w:val="24"/>
          <w:lang w:val="fr-FR"/>
        </w:rPr>
        <w:t>certains</w:t>
      </w:r>
      <w:r w:rsidR="00A875C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65CDB" w:rsidRPr="004B4A97">
        <w:rPr>
          <w:rFonts w:ascii="Times New Roman" w:hAnsi="Times New Roman"/>
          <w:b/>
          <w:sz w:val="24"/>
          <w:szCs w:val="24"/>
          <w:lang w:val="fr-FR"/>
        </w:rPr>
        <w:t>avis de l</w:t>
      </w:r>
      <w:r w:rsidR="001E138C">
        <w:rPr>
          <w:rFonts w:ascii="Times New Roman" w:hAnsi="Times New Roman"/>
          <w:b/>
          <w:sz w:val="24"/>
          <w:szCs w:val="24"/>
          <w:lang w:val="fr-FR"/>
        </w:rPr>
        <w:t>’</w:t>
      </w:r>
      <w:r w:rsidR="00365CDB" w:rsidRPr="004B4A97">
        <w:rPr>
          <w:rFonts w:ascii="Times New Roman" w:hAnsi="Times New Roman"/>
          <w:b/>
          <w:sz w:val="24"/>
          <w:szCs w:val="24"/>
          <w:lang w:val="fr-FR"/>
        </w:rPr>
        <w:t>ICCI</w:t>
      </w:r>
      <w:r w:rsidR="00365CDB" w:rsidRPr="00A2553C">
        <w:rPr>
          <w:rFonts w:ascii="Times New Roman" w:hAnsi="Times New Roman"/>
          <w:b/>
          <w:sz w:val="24"/>
          <w:szCs w:val="24"/>
          <w:lang w:val="fr-FR"/>
        </w:rPr>
        <w:t xml:space="preserve"> relatifs au rapport du commissaire</w:t>
      </w:r>
    </w:p>
    <w:p w14:paraId="249CEF58" w14:textId="77777777" w:rsidR="00365CDB" w:rsidRDefault="00365CDB" w:rsidP="00767B68">
      <w:pPr>
        <w:numPr>
          <w:ilvl w:val="12"/>
          <w:numId w:val="0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249CEF59" w14:textId="77777777" w:rsidR="00146E2A" w:rsidRDefault="00146E2A" w:rsidP="00767B6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AVERTISSEMENT</w:t>
      </w:r>
      <w:r w:rsidR="00E54FB7"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: Dans l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aperçu ci-après, il est souvent fait référence aux </w:t>
      </w:r>
      <w:r w:rsidR="00F474C6">
        <w:rPr>
          <w:rFonts w:ascii="Times New Roman" w:eastAsia="Calibri" w:hAnsi="Times New Roman" w:cs="Times New Roman"/>
          <w:sz w:val="24"/>
          <w:szCs w:val="24"/>
          <w:lang w:val="fr-FR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ormes générales de révisio</w:t>
      </w:r>
      <w:r w:rsidR="00D914E0">
        <w:rPr>
          <w:rFonts w:ascii="Times New Roman" w:eastAsia="Calibri" w:hAnsi="Times New Roman" w:cs="Times New Roman"/>
          <w:sz w:val="24"/>
          <w:szCs w:val="24"/>
          <w:lang w:val="fr-FR"/>
        </w:rPr>
        <w:t>n. Etant donné que celles-ci 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ont abrogées à partir de la double date d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application des normes ISA en </w:t>
      </w:r>
      <w:r w:rsidR="00F474C6">
        <w:rPr>
          <w:rFonts w:ascii="Times New Roman" w:eastAsia="Calibri" w:hAnsi="Times New Roman" w:cs="Times New Roman"/>
          <w:sz w:val="24"/>
          <w:szCs w:val="24"/>
          <w:lang w:val="fr-FR"/>
        </w:rPr>
        <w:t>Belgique (2012 respectivement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2014)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, le lecteur utilisera cette doctrine avec discernement, en fonction des circonstances, ainsi qu</w:t>
      </w:r>
      <w:r w:rsidR="001E138C">
        <w:rPr>
          <w:rFonts w:ascii="Times New Roman" w:eastAsia="Calibri" w:hAnsi="Times New Roman" w:cs="Times New Roman"/>
          <w:sz w:val="24"/>
          <w:szCs w:val="24"/>
          <w:lang w:val="fr-FR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en tenant compte des normes ISA applicables en Belgique et de la norme complémentaire aux normes ISA applicables en Belgique.</w:t>
      </w:r>
    </w:p>
    <w:p w14:paraId="249CEF5A" w14:textId="3EB1BB71" w:rsidR="00E54FB7" w:rsidRPr="00E54FB7" w:rsidRDefault="00E54FB7" w:rsidP="00767B68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F519F">
        <w:rPr>
          <w:rFonts w:ascii="Times New Roman" w:eastAsia="Calibri" w:hAnsi="Times New Roman" w:cs="Times New Roman"/>
          <w:sz w:val="24"/>
          <w:szCs w:val="24"/>
          <w:lang w:val="fr-BE"/>
        </w:rPr>
        <w:t>L’IRE analyse</w:t>
      </w:r>
      <w:r w:rsidR="00E40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actuellement</w:t>
      </w:r>
      <w:r w:rsidRPr="009F519F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les avis, circulaires et communications dans le contexte de la nouvelle législation et examine si ceux-ci doivent être adaptés.</w:t>
      </w:r>
    </w:p>
    <w:p w14:paraId="249CEF5B" w14:textId="77777777" w:rsidR="00146E2A" w:rsidRPr="00146E2A" w:rsidRDefault="00146E2A" w:rsidP="00767B68">
      <w:pPr>
        <w:numPr>
          <w:ilvl w:val="12"/>
          <w:numId w:val="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49CEF5C" w14:textId="77777777" w:rsidR="00D914E0" w:rsidRDefault="00D914E0" w:rsidP="00D914E0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Avis, circulaires et communications émis par l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IRE relatifs au rapport du commissaire</w:t>
      </w:r>
      <w:r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F474C6"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  <w:t>www.ibr-ire.be</w:t>
      </w:r>
      <w:r w:rsidRPr="00F474C6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</w:p>
    <w:p w14:paraId="249CEF5D" w14:textId="77777777" w:rsidR="00D914E0" w:rsidRPr="00365CDB" w:rsidRDefault="00D914E0" w:rsidP="00D914E0">
      <w:pPr>
        <w:pStyle w:val="ListParagraph"/>
        <w:spacing w:after="0"/>
        <w:ind w:left="714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153E7BBD" w14:textId="2193EB1F" w:rsidR="00DB6AF2" w:rsidRDefault="00DB6AF2" w:rsidP="000928E5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2020/03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du 8 décembre 2020 relatif à</w:t>
      </w:r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l’i</w:t>
      </w:r>
      <w:bookmarkStart w:id="0" w:name="_GoBack"/>
      <w:bookmarkEnd w:id="0"/>
      <w:r w:rsidRPr="00DB6AF2">
        <w:rPr>
          <w:rFonts w:ascii="Times New Roman" w:eastAsia="Calibri" w:hAnsi="Times New Roman" w:cs="Times New Roman"/>
          <w:sz w:val="24"/>
          <w:szCs w:val="24"/>
          <w:lang w:val="fr-BE"/>
        </w:rPr>
        <w:t>mpact du COVID-19 sur l'audit de l'exercice 2020 - points clés</w:t>
      </w:r>
    </w:p>
    <w:p w14:paraId="1E1E1FC1" w14:textId="77777777" w:rsidR="00DB6AF2" w:rsidRDefault="00DB6AF2" w:rsidP="00DB6AF2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5E" w14:textId="12CE73D5" w:rsidR="00450164" w:rsidRDefault="00450164" w:rsidP="000928E5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2019/15 du 18 décembre 2019</w:t>
      </w:r>
      <w:r w:rsidR="003934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relatif 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>à l’o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bligation de rédiger un rapport de gestion dans les grandes A(I)SBL et Fondations - rapport du commissaire y relatif</w:t>
      </w:r>
    </w:p>
    <w:p w14:paraId="249CEF5F" w14:textId="77777777" w:rsidR="000928E5" w:rsidRDefault="000928E5" w:rsidP="000928E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0" w14:textId="77777777" w:rsidR="00450164" w:rsidRDefault="00450164" w:rsidP="000928E5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2019/14 du 16 décembre 2019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relatif aux r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apports de commissaire émis à partir du 1er janvier 2020 (régime transitoire)</w:t>
      </w:r>
    </w:p>
    <w:p w14:paraId="249CEF61" w14:textId="77777777" w:rsidR="000928E5" w:rsidRPr="000928E5" w:rsidRDefault="000928E5" w:rsidP="000928E5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2" w14:textId="77777777" w:rsidR="000928E5" w:rsidRDefault="00450164" w:rsidP="000928E5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2019/10 du 9 avril 2019 </w:t>
      </w:r>
      <w:r w:rsidR="000928E5">
        <w:rPr>
          <w:rFonts w:ascii="Times New Roman" w:eastAsia="Calibri" w:hAnsi="Times New Roman" w:cs="Times New Roman"/>
          <w:sz w:val="24"/>
          <w:szCs w:val="24"/>
          <w:lang w:val="fr-BE"/>
        </w:rPr>
        <w:t>relatif à l’</w:t>
      </w:r>
      <w:r w:rsidR="000928E5" w:rsidRPr="00ED6CB0">
        <w:rPr>
          <w:lang w:val="fr-FR"/>
        </w:rPr>
        <w:t>i</w:t>
      </w:r>
      <w:r w:rsidR="000928E5" w:rsidRPr="000928E5">
        <w:rPr>
          <w:rFonts w:ascii="Times New Roman" w:eastAsia="Calibri" w:hAnsi="Times New Roman" w:cs="Times New Roman"/>
          <w:sz w:val="24"/>
          <w:szCs w:val="24"/>
          <w:lang w:val="fr-BE"/>
        </w:rPr>
        <w:t>nterruption du mandat de commissaire</w:t>
      </w:r>
    </w:p>
    <w:p w14:paraId="249CEF63" w14:textId="77777777" w:rsidR="000928E5" w:rsidRPr="000928E5" w:rsidRDefault="000928E5" w:rsidP="000928E5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4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2019/09 du 28 mars 2019 relatif au remplacement de la Circulaire D021/10 relative à la date de la lettre d’affirmation</w:t>
      </w:r>
    </w:p>
    <w:p w14:paraId="249CEF65" w14:textId="77777777" w:rsidR="003D34D0" w:rsidRDefault="003D34D0" w:rsidP="00450164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6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2019/06 du 15 mars 2019 relatif à l’application non automatique de l’art. 138 C. Soc. en cas de diminution de l’actif net à moins de la moitié du capital</w:t>
      </w:r>
    </w:p>
    <w:p w14:paraId="249CEF67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8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2019/03 du 15 février 2019 relatif à l’impact du Brexit sur le rapport du commissaire</w:t>
      </w:r>
    </w:p>
    <w:p w14:paraId="249CEF69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A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2019/02 du 31 janvier 2019 relatif à la vérification du registre UBO – mission du commissaire et impact sur le rapport du commissaire</w:t>
      </w:r>
    </w:p>
    <w:p w14:paraId="249CEF6B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C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 xml:space="preserve">Avis 2018/01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9 février 2018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relatif aux </w:t>
      </w:r>
      <w:r w:rsidR="00E401A0">
        <w:rPr>
          <w:rFonts w:ascii="Times New Roman" w:eastAsia="Calibri" w:hAnsi="Times New Roman" w:cs="Times New Roman"/>
          <w:sz w:val="24"/>
          <w:szCs w:val="24"/>
          <w:lang w:val="fr-BE"/>
        </w:rPr>
        <w:t>s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ociétés contrôlées par les pouvoirs publics – Nouvelle obligation relative à la publication d’un rapport de rémunération</w:t>
      </w:r>
    </w:p>
    <w:p w14:paraId="249CEF6D" w14:textId="77777777" w:rsidR="00F2489C" w:rsidRDefault="00F2489C" w:rsidP="00F2489C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6E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2017/06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6 octobre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relatif au 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projet de norme relative à l'application des normes ISA (la nouvelle et les révisées) en Belgique - état des lieux et retrait de l'avis 2017/03</w:t>
      </w:r>
    </w:p>
    <w:p w14:paraId="249CEF6F" w14:textId="77777777" w:rsidR="00F2489C" w:rsidRDefault="00F2489C" w:rsidP="00F2489C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0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2017/04 du 8 septembre 2017 relatif au r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 - Portée de la déclaration sur d’éventuelles incertitudes significatives liées à des événements ou à des circonstances qui peuvent jeter un doute important sur la capacité de la société à poursuivre son exploitation (art. 144, §1, 7° C. Soc.)</w:t>
      </w:r>
    </w:p>
    <w:p w14:paraId="249CEF71" w14:textId="77777777" w:rsidR="00F2489C" w:rsidRDefault="00F2489C" w:rsidP="00F2489C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2" w14:textId="77777777" w:rsidR="008161A0" w:rsidRDefault="008161A0" w:rsidP="008161A0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2017/02 du 2 mars 2017 relatif aux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ègles applicables au rapport de commissaire relatif à l'exercice 2016</w:t>
      </w:r>
    </w:p>
    <w:p w14:paraId="249CEF73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4" w14:textId="77777777" w:rsidR="008161A0" w:rsidRDefault="008161A0" w:rsidP="008161A0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Avis 2017/01 du 19 janvier 2017 relatif au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</w:t>
      </w:r>
    </w:p>
    <w:p w14:paraId="249CEF75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8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Avis du 5 mars 2010, modifié le 29 octobre 2010, relatif à la mission du commissaire concernant le nouvel état XVIIIbis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annexe aux comptes annuels</w:t>
      </w:r>
    </w:p>
    <w:p w14:paraId="249CEF79" w14:textId="77777777" w:rsidR="00D914E0" w:rsidRDefault="00D914E0" w:rsidP="00D914E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A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A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vis du 20 juillet 2010 relatif au cadre normatif actuel et futur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IRE</w:t>
      </w:r>
    </w:p>
    <w:p w14:paraId="249CEF7B" w14:textId="77777777" w:rsidR="00D914E0" w:rsidRPr="00800C21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D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7E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Circulaire 2013/05 du 16 avril 2013 relative à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a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pplication des normes ISA proportionnellement à la taille et à la complexité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entité (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« </w:t>
      </w:r>
      <w:r w:rsidRPr="00F474C6">
        <w:rPr>
          <w:rFonts w:ascii="Times New Roman" w:eastAsia="Calibri" w:hAnsi="Times New Roman" w:cs="Times New Roman"/>
          <w:i/>
          <w:sz w:val="24"/>
          <w:szCs w:val="24"/>
          <w:lang w:val="fr-BE"/>
        </w:rPr>
        <w:t>scalability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 »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des normes ISA)</w:t>
      </w:r>
    </w:p>
    <w:p w14:paraId="249CEF7F" w14:textId="77777777" w:rsidR="00D914E0" w:rsidRPr="003F4C5D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07076D79" w14:textId="09995FD3" w:rsidR="001F7F07" w:rsidRDefault="001F7F07" w:rsidP="00393477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>Communication 2020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/</w:t>
      </w: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23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du 1</w:t>
      </w:r>
      <w:r w:rsidRPr="001F7F07">
        <w:rPr>
          <w:rFonts w:ascii="Times New Roman" w:eastAsia="Calibri" w:hAnsi="Times New Roman" w:cs="Times New Roman"/>
          <w:sz w:val="24"/>
          <w:szCs w:val="24"/>
          <w:vertAlign w:val="superscript"/>
          <w:lang w:val="fr-BE"/>
        </w:rPr>
        <w:t>er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décembre 2020 relative à la c</w:t>
      </w:r>
      <w:r w:rsidRPr="001F7F07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sur les projets de normes test d'actif net et test de liquidité</w:t>
      </w:r>
    </w:p>
    <w:p w14:paraId="42FF7C12" w14:textId="77777777" w:rsidR="001F7F07" w:rsidRPr="001F7F07" w:rsidRDefault="001F7F07" w:rsidP="001F7F07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A" w14:textId="714534CC" w:rsidR="00393477" w:rsidRDefault="00393477" w:rsidP="00393477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2020/11 du 6 mai 2020 concernant la l</w:t>
      </w:r>
      <w:r w:rsidRPr="00393477">
        <w:rPr>
          <w:rFonts w:ascii="Times New Roman" w:eastAsia="Calibri" w:hAnsi="Times New Roman" w:cs="Times New Roman"/>
          <w:sz w:val="24"/>
          <w:szCs w:val="24"/>
          <w:lang w:val="fr-BE"/>
        </w:rPr>
        <w:t>oi de réparation CSA – rapport de commissaire pour les A(I)SBL et les fondations</w:t>
      </w:r>
    </w:p>
    <w:p w14:paraId="249CEF8B" w14:textId="77777777" w:rsidR="00393477" w:rsidRPr="00393477" w:rsidRDefault="00393477" w:rsidP="00393477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C" w14:textId="77777777" w:rsidR="00393477" w:rsidRDefault="00393477" w:rsidP="00393477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2019/09 du 17 avril 2019 concernant l</w:t>
      </w:r>
      <w:r w:rsidRPr="00393477">
        <w:rPr>
          <w:rFonts w:ascii="Times New Roman" w:eastAsia="Calibri" w:hAnsi="Times New Roman" w:cs="Times New Roman"/>
          <w:sz w:val="24"/>
          <w:szCs w:val="24"/>
          <w:lang w:val="fr-BE"/>
        </w:rPr>
        <w:t>a loi du 23 mars 2019 introduisant le Code des sociétés et des associations et portant des dispositions diverses</w:t>
      </w:r>
    </w:p>
    <w:p w14:paraId="249CEF8D" w14:textId="77777777" w:rsidR="00393477" w:rsidRPr="00393477" w:rsidRDefault="00393477" w:rsidP="00393477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8E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2019/07 du 29 mars 2019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l’abrogation de la Circulaire 2011/03</w:t>
      </w:r>
    </w:p>
    <w:p w14:paraId="249CEF8F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0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2019/06 du 26 mars 2019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l’approbation par le ministre de l’Economie des deux normes relatives à l’application des normes ISA en Belgique</w:t>
      </w:r>
    </w:p>
    <w:p w14:paraId="249CEF91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2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Communication 2018/20 du 30 octobre 2018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l’Arrêté royal du 30 juillet 2018 relatif aux modalités de fonctionnement du registre UBO</w:t>
      </w:r>
    </w:p>
    <w:p w14:paraId="249CEF93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4" w14:textId="77777777" w:rsidR="003D34D0" w:rsidRDefault="003D34D0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2018/11 du 27 juin 2018</w:t>
      </w:r>
      <w:r w:rsidR="00B70A7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relative à la question et réponse parlementaires relatives au champ d’application de l’exemption concernant la déclaration non financière</w:t>
      </w:r>
    </w:p>
    <w:p w14:paraId="249CEF95" w14:textId="77777777" w:rsidR="003D34D0" w:rsidRPr="00450164" w:rsidRDefault="003D34D0" w:rsidP="00450164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6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2018/01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5 février 2018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à la c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sur le nouveau projet de norme complémentaire (révisée en 2018) aux normes internationales d’audit (ISA) applicables en Belgique – Le rapport du commissaire dans le cadre d’un contrôle légal de comptes annuels ou consolidés et autres aspects relatifs à la mission du commissaire (délai : 5 mars 2018)</w:t>
      </w:r>
    </w:p>
    <w:p w14:paraId="249CEF97" w14:textId="77777777" w:rsidR="00F2489C" w:rsidRPr="00F2489C" w:rsidRDefault="00F2489C" w:rsidP="00F248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8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2017/17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21 décembre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à la c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onsultation publique sur le nouveau projet de norme modifiant la norme du 10 novembre 2009 relative à l'application des normes ISA en Belgique (délai : 25 janvier 2018)</w:t>
      </w:r>
    </w:p>
    <w:p w14:paraId="249CEF99" w14:textId="77777777" w:rsidR="00F2489C" w:rsidRPr="00F2489C" w:rsidRDefault="00F2489C" w:rsidP="00F248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A" w14:textId="77777777" w:rsidR="00F2489C" w:rsidRDefault="00F2489C" w:rsidP="00F2489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2017/13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14 décembre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relative à la note </w:t>
      </w:r>
      <w:r w:rsidRPr="00F2489C">
        <w:rPr>
          <w:rFonts w:ascii="Times New Roman" w:eastAsia="Calibri" w:hAnsi="Times New Roman" w:cs="Times New Roman"/>
          <w:sz w:val="24"/>
          <w:szCs w:val="24"/>
          <w:lang w:val="fr-BE"/>
        </w:rPr>
        <w:t>technique - Synthèse de la démarche d'audit dans des entités non complexes</w:t>
      </w:r>
    </w:p>
    <w:p w14:paraId="249CEF9B" w14:textId="77777777" w:rsidR="00F2489C" w:rsidRPr="00F2489C" w:rsidRDefault="00F2489C" w:rsidP="00F248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C" w14:textId="77777777" w:rsidR="008161A0" w:rsidRDefault="008161A0" w:rsidP="008161A0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Communication 2017/06 </w:t>
      </w:r>
      <w:r w:rsidR="005B706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du 28 mars 2017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relative au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du commissaire dans les associations et fondations</w:t>
      </w:r>
    </w:p>
    <w:p w14:paraId="249CEF9D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9E" w14:textId="77777777" w:rsidR="008161A0" w:rsidRDefault="008161A0" w:rsidP="008161A0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2016/11 du 8 novembre 2016 relative aux p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ublications sur le site de l’ICCI : Normes ISA applicables aux petites entités – Mise à jour du Pack PE-KE et des checklis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ts ISA - Lettres d’affirmation</w:t>
      </w:r>
    </w:p>
    <w:p w14:paraId="249CEF9F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0" w14:textId="77777777" w:rsidR="008161A0" w:rsidRDefault="008161A0" w:rsidP="008161A0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2014/10 du 29 octobre 2014 relative à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la v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érification du bilan social par le réviseur d'entreprises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et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) le r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apport d'analyse sur la structure de la rémunération des travailleurs (AR et AM du 25 avril 2014)</w:t>
      </w:r>
    </w:p>
    <w:p w14:paraId="249CEFA1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2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2012/07 du 9 mai 2012 relative à la d</w:t>
      </w:r>
      <w:r w:rsidRPr="00DA2EF8">
        <w:rPr>
          <w:rFonts w:ascii="Times New Roman" w:eastAsia="Calibri" w:hAnsi="Times New Roman" w:cs="Times New Roman"/>
          <w:sz w:val="24"/>
          <w:szCs w:val="24"/>
          <w:lang w:val="fr-BE"/>
        </w:rPr>
        <w:t>escription des principales caractéristiques des systèmes de contrôle interne et de gestion des risques</w:t>
      </w:r>
    </w:p>
    <w:p w14:paraId="249CEFA3" w14:textId="77777777" w:rsidR="00D914E0" w:rsidRPr="003F4C5D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4" w14:textId="77777777" w:rsidR="00D914E0" w:rsidRP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Communication 2011/18 du 29 décembre 2011 au sujet de la loi du 20 décembre 2010 concernant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exercice de certains droits des actionnaires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e sociétés cotées – impact sur l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a fonction du commissaire, ayant ses effets les plus importants au 1</w:t>
      </w:r>
      <w:r w:rsidR="001E138C" w:rsidRPr="001E138C">
        <w:rPr>
          <w:rFonts w:ascii="Times New Roman" w:eastAsia="Calibri" w:hAnsi="Times New Roman" w:cs="Times New Roman"/>
          <w:sz w:val="24"/>
          <w:szCs w:val="24"/>
          <w:vertAlign w:val="superscript"/>
          <w:lang w:val="fr-BE"/>
        </w:rPr>
        <w:t>er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janvier 2012 (</w:t>
      </w:r>
      <w:r w:rsidRPr="00D914E0">
        <w:rPr>
          <w:rFonts w:ascii="Times New Roman" w:eastAsia="Calibri" w:hAnsi="Times New Roman" w:cs="Times New Roman"/>
          <w:i/>
          <w:sz w:val="24"/>
          <w:szCs w:val="24"/>
          <w:lang w:val="fr-BE"/>
        </w:rPr>
        <w:t>La remise des pièces au commissaire, la remise par lui de son rapport et la prorogation de l</w:t>
      </w:r>
      <w:r w:rsidR="001E138C">
        <w:rPr>
          <w:rFonts w:ascii="Times New Roman" w:eastAsia="Calibri" w:hAnsi="Times New Roman" w:cs="Times New Roman"/>
          <w:i/>
          <w:sz w:val="24"/>
          <w:szCs w:val="24"/>
          <w:lang w:val="fr-BE"/>
        </w:rPr>
        <w:t>’</w:t>
      </w:r>
      <w:r w:rsidRPr="00D914E0">
        <w:rPr>
          <w:rFonts w:ascii="Times New Roman" w:eastAsia="Calibri" w:hAnsi="Times New Roman" w:cs="Times New Roman"/>
          <w:i/>
          <w:sz w:val="24"/>
          <w:szCs w:val="24"/>
          <w:lang w:val="fr-BE"/>
        </w:rPr>
        <w:t>assemblée générale</w:t>
      </w:r>
      <w:r w:rsidRPr="00D914E0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</w:p>
    <w:p w14:paraId="249CEFA5" w14:textId="77777777" w:rsidR="00D914E0" w:rsidRPr="00800C21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7" w14:textId="77777777" w:rsidR="00D914E0" w:rsidRPr="002C2444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8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mmunication du 19 juillet 2010 relative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à la loi du 6 avril 2010 sur le gouvernement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623AAE">
        <w:rPr>
          <w:rFonts w:ascii="Times New Roman" w:eastAsia="Calibri" w:hAnsi="Times New Roman" w:cs="Times New Roman"/>
          <w:sz w:val="24"/>
          <w:szCs w:val="24"/>
          <w:lang w:val="fr-BE"/>
        </w:rPr>
        <w:t>entreprise dans les sociétés cotées</w:t>
      </w:r>
    </w:p>
    <w:p w14:paraId="249CEFA9" w14:textId="77777777" w:rsidR="00D914E0" w:rsidRPr="002C2444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A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C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ommunication du 22 janvier 2010 concernant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exercice de la fonction de commissaire dans les organisations non gouvernementales de développement agréées</w:t>
      </w:r>
    </w:p>
    <w:p w14:paraId="249CEFAB" w14:textId="77777777" w:rsidR="00D914E0" w:rsidRPr="00800C21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C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ommunication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du 20 février 2009 relative au r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appel de quelques aspects de la mission du commissaire auprès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une association ou fondation</w:t>
      </w:r>
    </w:p>
    <w:p w14:paraId="249CEFAD" w14:textId="77777777" w:rsidR="00D914E0" w:rsidRPr="002C2444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AE" w14:textId="77777777" w:rsidR="00D914E0" w:rsidRDefault="00D914E0" w:rsidP="001E138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Communication du 31 janvier 2006 relative aux a</w:t>
      </w:r>
      <w:r w:rsidRPr="002B7C98">
        <w:rPr>
          <w:rFonts w:ascii="Times New Roman" w:eastAsia="Calibri" w:hAnsi="Times New Roman" w:cs="Times New Roman"/>
          <w:sz w:val="24"/>
          <w:szCs w:val="24"/>
          <w:lang w:val="fr-BE"/>
        </w:rPr>
        <w:t>rticles 96 et 119 du Code des sociétés (rapport de gestion) et 144 et 148 du Code des sociétés (rapport du commissaire)</w:t>
      </w:r>
    </w:p>
    <w:p w14:paraId="249CEFAF" w14:textId="77777777" w:rsidR="00D914E0" w:rsidRPr="00D914E0" w:rsidRDefault="00D914E0" w:rsidP="00D914E0">
      <w:pPr>
        <w:pStyle w:val="ListParagrap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B0" w14:textId="77777777" w:rsidR="00D914E0" w:rsidRDefault="00D914E0" w:rsidP="00D914E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B1" w14:textId="77777777" w:rsidR="00365CDB" w:rsidRPr="00365CDB" w:rsidRDefault="00365CDB" w:rsidP="00365CD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>Extrait</w:t>
      </w:r>
      <w:r w:rsidR="00A875CA">
        <w:rPr>
          <w:rFonts w:ascii="Times New Roman" w:eastAsia="Calibri" w:hAnsi="Times New Roman" w:cs="Times New Roman"/>
          <w:b/>
          <w:sz w:val="24"/>
          <w:szCs w:val="24"/>
          <w:lang w:val="fr-BE"/>
        </w:rPr>
        <w:t>s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du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IRE,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91234B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Vademe</w:t>
      </w:r>
      <w:r w:rsidR="008026D8" w:rsidRPr="00FF2F2E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cum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2009</w:t>
      </w:r>
      <w:r w:rsidR="00A875CA">
        <w:rPr>
          <w:rFonts w:ascii="Times New Roman" w:eastAsia="Calibri" w:hAnsi="Times New Roman" w:cs="Times New Roman"/>
          <w:b/>
          <w:sz w:val="24"/>
          <w:szCs w:val="24"/>
          <w:lang w:val="fr-BE"/>
        </w:rPr>
        <w:t>,</w:t>
      </w:r>
      <w:r w:rsidRPr="00365CDB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Tome 1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 : Doctrine</w:t>
      </w:r>
    </w:p>
    <w:p w14:paraId="249CEFB2" w14:textId="77777777" w:rsidR="00365CDB" w:rsidRPr="00365CDB" w:rsidRDefault="00365CDB" w:rsidP="00365CDB">
      <w:pPr>
        <w:numPr>
          <w:ilvl w:val="12"/>
          <w:numId w:val="0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fr-BE"/>
        </w:rPr>
        <w:t>Page</w:t>
      </w:r>
    </w:p>
    <w:p w14:paraId="249CEFB3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Rapport de révision à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occasion de la première année de mandat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599</w:t>
      </w:r>
    </w:p>
    <w:p w14:paraId="249CEFB4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La société n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a pas fait précédemment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objet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un contrôle </w:t>
      </w:r>
    </w:p>
    <w:p w14:paraId="249CEFB5" w14:textId="77777777" w:rsidR="00365CDB" w:rsidRDefault="001E138C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conforme aux normes</w:t>
      </w:r>
    </w:p>
    <w:p w14:paraId="249CEFB6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La société a fait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objet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une r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évision conforme aux normes</w:t>
      </w:r>
    </w:p>
    <w:p w14:paraId="249CEFB7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Nomination tardive du commissaire</w:t>
      </w:r>
    </w:p>
    <w:p w14:paraId="249CEFB8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B9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Mention dans le rapport de révision en cas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infraction au droit des sociétés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602</w:t>
      </w:r>
    </w:p>
    <w:p w14:paraId="249CEFBA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Il doit exister un risque de préjudice</w:t>
      </w:r>
    </w:p>
    <w:p w14:paraId="249CEFBB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Que faut-il entendre par correction ?</w:t>
      </w:r>
    </w:p>
    <w:p w14:paraId="249CEFBC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Importance relative</w:t>
      </w:r>
    </w:p>
    <w:p w14:paraId="249CEFBD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Relation entre le rapport de révision et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information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assemblée</w:t>
      </w:r>
    </w:p>
    <w:p w14:paraId="249CEFBE" w14:textId="77777777" w:rsid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générale</w:t>
      </w:r>
    </w:p>
    <w:p w14:paraId="249CEFBF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C0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Evénements survenus après la clôture de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exercice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  <w:t>607</w:t>
      </w:r>
    </w:p>
    <w:p w14:paraId="249CEFC1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Généralités</w:t>
      </w:r>
    </w:p>
    <w:p w14:paraId="249CEFC2" w14:textId="77777777" w:rsidR="00365CDB" w:rsidRP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  <w:lang w:val="fr-BE"/>
        </w:rPr>
        <w:t>Modifications des comptes après la signature du rapport de révision</w:t>
      </w:r>
    </w:p>
    <w:p w14:paraId="249CEFC3" w14:textId="77777777" w:rsidR="00365CDB" w:rsidRP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C4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FR"/>
        </w:rPr>
        <w:t>Rapport de carence et fin du mandat</w:t>
      </w:r>
      <w:r w:rsidRPr="00365CDB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ab/>
        <w:t>611</w:t>
      </w:r>
    </w:p>
    <w:p w14:paraId="249CEFC5" w14:textId="77777777" w:rsidR="00365CDB" w:rsidRPr="00365CDB" w:rsidRDefault="00365CDB" w:rsidP="00365CDB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EFC6" w14:textId="77777777" w:rsidR="00365CDB" w:rsidRPr="00365CDB" w:rsidRDefault="00365CDB" w:rsidP="00365C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E2864">
        <w:rPr>
          <w:rFonts w:ascii="Times New Roman" w:eastAsia="Calibri" w:hAnsi="Times New Roman" w:cs="Times New Roman"/>
          <w:sz w:val="24"/>
          <w:szCs w:val="24"/>
        </w:rPr>
        <w:t>Signature du rapport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612</w:t>
      </w:r>
    </w:p>
    <w:p w14:paraId="249CEFC7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365CDB">
        <w:rPr>
          <w:rFonts w:ascii="Times New Roman" w:eastAsia="Calibri" w:hAnsi="Times New Roman" w:cs="Times New Roman"/>
          <w:sz w:val="24"/>
          <w:szCs w:val="24"/>
          <w:lang w:val="fr-BE"/>
        </w:rPr>
        <w:t>Délégation de signature</w:t>
      </w:r>
    </w:p>
    <w:p w14:paraId="249CEFC8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Rapport lorsqu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un commissaire suppléant intervient</w:t>
      </w:r>
    </w:p>
    <w:p w14:paraId="249CEFC9" w14:textId="77777777" w:rsidR="00365CDB" w:rsidRDefault="00365CDB" w:rsidP="00365CDB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Rapport commun établi par les réviseurs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entreprises et les membres</w:t>
      </w:r>
    </w:p>
    <w:p w14:paraId="249CEFCA" w14:textId="77777777" w:rsidR="00365CDB" w:rsidRDefault="00365CDB" w:rsidP="00365CDB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de la Cour 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des c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omptes</w:t>
      </w:r>
    </w:p>
    <w:p w14:paraId="249CEFCB" w14:textId="77777777" w:rsidR="00800C21" w:rsidRDefault="00800C21" w:rsidP="00800C21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CC" w14:textId="77777777" w:rsidR="00800C21" w:rsidRPr="00800C21" w:rsidRDefault="00800C21" w:rsidP="00800C21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Lettre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ab/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619</w:t>
      </w:r>
    </w:p>
    <w:p w14:paraId="249CEFCD" w14:textId="77777777" w:rsidR="00800C21" w:rsidRDefault="00800C21" w:rsidP="00800C21">
      <w:pPr>
        <w:pStyle w:val="ListParagraph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Principe</w:t>
      </w:r>
    </w:p>
    <w:p w14:paraId="249CEFCE" w14:textId="77777777" w:rsidR="00800C21" w:rsidRDefault="00800C21" w:rsidP="00800C21">
      <w:pPr>
        <w:pStyle w:val="ListParagraph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Responsabilité des signataires</w:t>
      </w:r>
    </w:p>
    <w:p w14:paraId="249CEFCF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R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esponsabilité des signataires de la le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</w:p>
    <w:p w14:paraId="249CEFD0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lastRenderedPageBreak/>
        <w:t>Responsabilité de la société auditée</w:t>
      </w:r>
    </w:p>
    <w:p w14:paraId="249CEFD1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Secret professionnel</w:t>
      </w:r>
    </w:p>
    <w:p w14:paraId="249CEFD2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Refus de signer la lettre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800C21">
        <w:rPr>
          <w:rFonts w:ascii="Times New Roman" w:eastAsia="Calibri" w:hAnsi="Times New Roman" w:cs="Times New Roman"/>
          <w:sz w:val="24"/>
          <w:szCs w:val="24"/>
          <w:lang w:val="fr-BE"/>
        </w:rPr>
        <w:t>affirmation</w:t>
      </w:r>
    </w:p>
    <w:p w14:paraId="249CEFD3" w14:textId="77777777" w:rsidR="00800C21" w:rsidRDefault="00800C21" w:rsidP="00800C21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Notion de « garantie »</w:t>
      </w:r>
    </w:p>
    <w:p w14:paraId="249CEFD4" w14:textId="77777777" w:rsidR="00800C21" w:rsidRPr="00800C21" w:rsidRDefault="00800C21" w:rsidP="00800C21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D5" w14:textId="77777777" w:rsidR="00623AAE" w:rsidRDefault="00623AAE" w:rsidP="00623AAE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EFD6" w14:textId="77777777" w:rsidR="00800C21" w:rsidRPr="00D914E0" w:rsidRDefault="00800C21" w:rsidP="00800C21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Etudes IRE, </w:t>
      </w:r>
      <w:r w:rsidRPr="00D914E0">
        <w:rPr>
          <w:rFonts w:ascii="Times New Roman" w:eastAsia="Calibri" w:hAnsi="Times New Roman" w:cs="Times New Roman"/>
          <w:b/>
          <w:i/>
          <w:sz w:val="24"/>
          <w:szCs w:val="24"/>
          <w:lang w:val="fr-BE"/>
        </w:rPr>
        <w:t>La société et son commissaire</w:t>
      </w: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F474C6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– </w:t>
      </w:r>
      <w:r w:rsidRPr="00D914E0">
        <w:rPr>
          <w:rFonts w:ascii="Times New Roman" w:eastAsia="Calibri" w:hAnsi="Times New Roman" w:cs="Times New Roman"/>
          <w:b/>
          <w:sz w:val="24"/>
          <w:szCs w:val="24"/>
          <w:lang w:val="fr-BE"/>
        </w:rPr>
        <w:t>Cas pratiques, 2004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104"/>
        <w:gridCol w:w="19"/>
        <w:gridCol w:w="1165"/>
      </w:tblGrid>
      <w:tr w:rsidR="00623AAE" w:rsidRPr="007C40CA" w14:paraId="249CEFD9" w14:textId="77777777" w:rsidTr="00D95AE0">
        <w:tc>
          <w:tcPr>
            <w:tcW w:w="4373" w:type="pct"/>
            <w:gridSpan w:val="2"/>
          </w:tcPr>
          <w:p w14:paraId="249CEFD7" w14:textId="77777777" w:rsidR="00623AAE" w:rsidRPr="00DE2864" w:rsidRDefault="00623AAE" w:rsidP="00623AAE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627" w:type="pct"/>
          </w:tcPr>
          <w:p w14:paraId="249CEFD8" w14:textId="77777777" w:rsidR="00623AAE" w:rsidRPr="00DE2864" w:rsidRDefault="00623AAE" w:rsidP="00D95A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Page</w:t>
            </w:r>
          </w:p>
        </w:tc>
      </w:tr>
      <w:tr w:rsidR="00623AAE" w:rsidRPr="007C40CA" w14:paraId="249CEFDC" w14:textId="77777777" w:rsidTr="00D95AE0">
        <w:tc>
          <w:tcPr>
            <w:tcW w:w="4373" w:type="pct"/>
            <w:gridSpan w:val="2"/>
          </w:tcPr>
          <w:p w14:paraId="249CEFDA" w14:textId="77777777" w:rsidR="00623AAE" w:rsidRPr="002E1729" w:rsidRDefault="00623AAE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Comment présenter 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la certification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 des comptes auprès de certaines entités publiques dont certains commissaires n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ont pas la qualité de réviseur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entreprises ?</w:t>
            </w:r>
          </w:p>
        </w:tc>
        <w:tc>
          <w:tcPr>
            <w:tcW w:w="627" w:type="pct"/>
          </w:tcPr>
          <w:p w14:paraId="249CEFDB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23AAE" w:rsidRPr="007C40CA" w14:paraId="249CEFDF" w14:textId="77777777" w:rsidTr="00D95AE0">
        <w:tc>
          <w:tcPr>
            <w:tcW w:w="4373" w:type="pct"/>
            <w:gridSpan w:val="2"/>
          </w:tcPr>
          <w:p w14:paraId="249CEFDD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Intervention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collaborateur (exclusif) au nom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une société de révision</w:t>
            </w:r>
          </w:p>
        </w:tc>
        <w:tc>
          <w:tcPr>
            <w:tcW w:w="627" w:type="pct"/>
          </w:tcPr>
          <w:p w14:paraId="249CEFDE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23AAE" w:rsidRPr="007C40CA" w14:paraId="249CEFE2" w14:textId="77777777" w:rsidTr="00D95AE0">
        <w:tc>
          <w:tcPr>
            <w:tcW w:w="4373" w:type="pct"/>
            <w:gridSpan w:val="2"/>
          </w:tcPr>
          <w:p w14:paraId="249CEFE0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 qui revient la responsabilité en cas de délégation de signature</w:t>
            </w:r>
            <w:r w:rsidR="00A875CA"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 ?</w:t>
            </w:r>
          </w:p>
        </w:tc>
        <w:tc>
          <w:tcPr>
            <w:tcW w:w="627" w:type="pct"/>
          </w:tcPr>
          <w:p w14:paraId="249CEFE1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1E138C" w:rsidRPr="007C40CA" w14:paraId="249CEFE5" w14:textId="77777777" w:rsidTr="00D95AE0">
        <w:tc>
          <w:tcPr>
            <w:tcW w:w="4373" w:type="pct"/>
            <w:gridSpan w:val="2"/>
          </w:tcPr>
          <w:p w14:paraId="249CEFE3" w14:textId="77777777" w:rsidR="001E138C" w:rsidRPr="002E1729" w:rsidRDefault="001E138C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Que se passe-t-il quand il y a divergence entre le procès-verbal de la réunion du conseil d’entreprise et sa communication à l’assemblée générale ?</w:t>
            </w:r>
          </w:p>
        </w:tc>
        <w:tc>
          <w:tcPr>
            <w:tcW w:w="627" w:type="pct"/>
          </w:tcPr>
          <w:p w14:paraId="249CEFE4" w14:textId="77777777" w:rsidR="001E138C" w:rsidRPr="00DE2864" w:rsidRDefault="001E138C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E138C" w:rsidRPr="001E138C" w14:paraId="249CEFE8" w14:textId="77777777" w:rsidTr="00D95AE0">
        <w:tc>
          <w:tcPr>
            <w:tcW w:w="4373" w:type="pct"/>
            <w:gridSpan w:val="2"/>
          </w:tcPr>
          <w:p w14:paraId="249CEFE6" w14:textId="77777777" w:rsidR="001E138C" w:rsidRPr="002E1729" w:rsidRDefault="001E138C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Quelle est la forme du rapport à établir destiné au comité pour la prévention et la protection au travail qui exerce la fonction du conseil d’entreprise ?</w:t>
            </w:r>
          </w:p>
        </w:tc>
        <w:tc>
          <w:tcPr>
            <w:tcW w:w="627" w:type="pct"/>
          </w:tcPr>
          <w:p w14:paraId="249CEFE7" w14:textId="77777777" w:rsidR="001E138C" w:rsidRPr="001E138C" w:rsidRDefault="001E138C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96</w:t>
            </w:r>
          </w:p>
        </w:tc>
      </w:tr>
      <w:tr w:rsidR="00623AAE" w:rsidRPr="007C40CA" w14:paraId="249CEFEB" w14:textId="77777777" w:rsidTr="00D95AE0">
        <w:tc>
          <w:tcPr>
            <w:tcW w:w="4373" w:type="pct"/>
            <w:gridSpan w:val="2"/>
          </w:tcPr>
          <w:p w14:paraId="249CEFE9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Le réviseur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entreprises doit-il rédiger un rapport de révision sur les comptes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une succursale ayant un conseil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entreprise ?</w:t>
            </w:r>
          </w:p>
        </w:tc>
        <w:tc>
          <w:tcPr>
            <w:tcW w:w="627" w:type="pct"/>
          </w:tcPr>
          <w:p w14:paraId="249CEFEA" w14:textId="77777777" w:rsidR="00623AAE" w:rsidRPr="00DE2864" w:rsidRDefault="00623AAE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23AAE" w:rsidRPr="007C40CA" w14:paraId="249CEFEE" w14:textId="77777777" w:rsidTr="00D95AE0">
        <w:tc>
          <w:tcPr>
            <w:tcW w:w="4373" w:type="pct"/>
            <w:gridSpan w:val="2"/>
          </w:tcPr>
          <w:p w14:paraId="249CEFEC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 xml:space="preserve">Le </w:t>
            </w:r>
            <w:r w:rsidR="00A875CA"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c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ommissaire doit-il rédiger deux rapports dans le cas où il y a concours entre le rapport sur la proposition de dissolution et le rapport de révision sur les comptes annuels ?</w:t>
            </w:r>
          </w:p>
        </w:tc>
        <w:tc>
          <w:tcPr>
            <w:tcW w:w="627" w:type="pct"/>
          </w:tcPr>
          <w:p w14:paraId="249CEFED" w14:textId="77777777" w:rsidR="00623AAE" w:rsidRPr="00DE2864" w:rsidRDefault="00623AAE" w:rsidP="00D95AE0">
            <w:pPr>
              <w:tabs>
                <w:tab w:val="left" w:pos="426"/>
              </w:tabs>
              <w:ind w:left="426" w:hanging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23AAE" w:rsidRPr="007C40CA" w14:paraId="249CEFF1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EF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Infractions aux dispositions relatives à la consolidation : faut-il que le commissaire mentionne l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infraction, et si oui, dans quel rapport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0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23AAE" w:rsidRPr="007C40CA" w14:paraId="249CEFF4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2" w14:textId="77777777" w:rsidR="002E1729" w:rsidRPr="00DE2864" w:rsidRDefault="00623AAE" w:rsidP="001E138C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Que se passe-t-il quand il y a désaccord entre les membres d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collège de commissaires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3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23AAE" w:rsidRPr="007C40CA" w14:paraId="249CEFF9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5" w14:textId="77777777" w:rsidR="00623AAE" w:rsidRDefault="00623AAE" w:rsidP="00F474C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Modifications des comptes annuels après la signature du rapport de révision : faut-il rédiger un nouveau rapport ?</w:t>
            </w:r>
          </w:p>
          <w:p w14:paraId="249CEFF6" w14:textId="77777777" w:rsidR="00F474C6" w:rsidRDefault="00F474C6" w:rsidP="00F474C6">
            <w:pPr>
              <w:pStyle w:val="ListParagraph"/>
              <w:numPr>
                <w:ilvl w:val="1"/>
                <w:numId w:val="7"/>
              </w:numPr>
              <w:spacing w:after="0"/>
              <w:ind w:left="1865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 par 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organe de gestion</w:t>
            </w:r>
          </w:p>
          <w:p w14:paraId="249CEFF7" w14:textId="77777777" w:rsidR="00F474C6" w:rsidRPr="002E1729" w:rsidRDefault="00F474C6" w:rsidP="00F474C6">
            <w:pPr>
              <w:pStyle w:val="ListParagraph"/>
              <w:numPr>
                <w:ilvl w:val="1"/>
                <w:numId w:val="7"/>
              </w:numPr>
              <w:spacing w:after="0"/>
              <w:ind w:left="1865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Modification par ou au cours de 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DE2864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assemblée générale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8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23AAE" w:rsidRPr="007C40CA" w14:paraId="249CEFFC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A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 quelle occasion le commissaire établit-il un rapport de carence, à qui l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adresse-t-il et qui doit-il mentionner ?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EFFB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AAE" w:rsidRPr="007C40CA" w14:paraId="249CF001" w14:textId="77777777" w:rsidTr="00D95AE0"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</w:tcPr>
          <w:p w14:paraId="249CEFFD" w14:textId="77777777" w:rsidR="00623AAE" w:rsidRPr="002E1729" w:rsidRDefault="00623AAE" w:rsidP="002E1729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Comment se passe la rédaction du rapport de révision lorsqu</w:t>
            </w:r>
            <w:r w:rsidR="001E138C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’</w:t>
            </w:r>
            <w:r w:rsidRPr="002E1729"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  <w:t>un commissaire suppléant exerce la fonction de commissaire ?</w:t>
            </w:r>
          </w:p>
          <w:p w14:paraId="249CEFFE" w14:textId="77777777" w:rsidR="00623AAE" w:rsidRDefault="00623AAE" w:rsidP="00623AAE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</w:p>
          <w:p w14:paraId="249CEFFF" w14:textId="77777777" w:rsidR="00292CB1" w:rsidRPr="00DE2864" w:rsidRDefault="00292CB1" w:rsidP="00623AAE">
            <w:p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CF000" w14:textId="77777777" w:rsidR="00623AAE" w:rsidRPr="00DE2864" w:rsidRDefault="00623AAE" w:rsidP="00D95AE0">
            <w:pPr>
              <w:tabs>
                <w:tab w:val="left" w:pos="426"/>
                <w:tab w:val="num" w:pos="1134"/>
              </w:tabs>
              <w:ind w:left="426" w:hanging="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6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</w:tbl>
    <w:p w14:paraId="249CF002" w14:textId="77777777" w:rsid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03" w14:textId="77777777" w:rsidR="00365CDB" w:rsidRPr="00623AAE" w:rsidRDefault="00D914E0" w:rsidP="00365CD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fr-BE"/>
        </w:rPr>
        <w:t>Sélection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>a</w:t>
      </w:r>
      <w:r w:rsidR="00623AAE" w:rsidRPr="00623AAE">
        <w:rPr>
          <w:rFonts w:ascii="Times New Roman" w:eastAsia="Calibri" w:hAnsi="Times New Roman" w:cs="Times New Roman"/>
          <w:b/>
          <w:sz w:val="24"/>
          <w:szCs w:val="24"/>
          <w:lang w:val="fr-BE"/>
        </w:rPr>
        <w:t>vis émis par l</w:t>
      </w:r>
      <w:r w:rsidR="001E138C">
        <w:rPr>
          <w:rFonts w:ascii="Times New Roman" w:eastAsia="Calibri" w:hAnsi="Times New Roman" w:cs="Times New Roman"/>
          <w:b/>
          <w:sz w:val="24"/>
          <w:szCs w:val="24"/>
          <w:lang w:val="fr-BE"/>
        </w:rPr>
        <w:t>’</w:t>
      </w:r>
      <w:r w:rsidR="00623AAE" w:rsidRPr="00623AAE">
        <w:rPr>
          <w:rFonts w:ascii="Times New Roman" w:eastAsia="Calibri" w:hAnsi="Times New Roman" w:cs="Times New Roman"/>
          <w:b/>
          <w:sz w:val="24"/>
          <w:szCs w:val="24"/>
          <w:lang w:val="fr-BE"/>
        </w:rPr>
        <w:t>ICCI relatifs au rapport du commissaire</w:t>
      </w:r>
      <w:r w:rsidR="002E1729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</w:t>
      </w:r>
      <w:r w:rsidR="002E1729">
        <w:rPr>
          <w:rFonts w:ascii="Times New Roman" w:eastAsia="Calibri" w:hAnsi="Times New Roman" w:cs="Times New Roman"/>
          <w:sz w:val="24"/>
          <w:szCs w:val="24"/>
          <w:lang w:val="fr-BE"/>
        </w:rPr>
        <w:t>(</w:t>
      </w:r>
      <w:hyperlink r:id="rId11" w:history="1">
        <w:r w:rsidRPr="009F12C8">
          <w:rPr>
            <w:rStyle w:val="Hyperlink"/>
            <w:rFonts w:ascii="Times New Roman" w:eastAsia="Calibri" w:hAnsi="Times New Roman" w:cs="Times New Roman"/>
            <w:sz w:val="24"/>
            <w:szCs w:val="24"/>
            <w:lang w:val="fr-BE"/>
          </w:rPr>
          <w:t>www.icci.be</w:t>
        </w:r>
      </w:hyperlink>
      <w:r w:rsidR="002E1729">
        <w:rPr>
          <w:rFonts w:ascii="Times New Roman" w:eastAsia="Calibri" w:hAnsi="Times New Roman" w:cs="Times New Roman"/>
          <w:sz w:val="24"/>
          <w:szCs w:val="24"/>
          <w:lang w:val="fr-BE"/>
        </w:rPr>
        <w:t>)</w:t>
      </w:r>
      <w:r w:rsidR="00FC4627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(M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ots-clés : rapport du commissaire, </w:t>
      </w:r>
      <w:r w:rsidR="008811A3">
        <w:rPr>
          <w:rFonts w:ascii="Times New Roman" w:eastAsia="Calibri" w:hAnsi="Times New Roman" w:cs="Times New Roman"/>
          <w:sz w:val="24"/>
          <w:szCs w:val="24"/>
          <w:lang w:val="fr-BE"/>
        </w:rPr>
        <w:t>rapport de carence, commissarisverslag, verslag van niet-bevinding)</w:t>
      </w:r>
    </w:p>
    <w:p w14:paraId="249CF004" w14:textId="77777777" w:rsidR="00365CDB" w:rsidRDefault="00365CDB" w:rsidP="002E1729">
      <w:pPr>
        <w:pStyle w:val="ListParagraph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F005" w14:textId="77777777" w:rsidR="00393477" w:rsidRPr="0005549A" w:rsidRDefault="00393477" w:rsidP="003934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05549A">
        <w:rPr>
          <w:rFonts w:ascii="Times New Roman" w:eastAsia="Times New Roman" w:hAnsi="Times New Roman" w:cs="Times New Roman"/>
          <w:sz w:val="24"/>
          <w:szCs w:val="24"/>
          <w:lang w:val="fr-BE"/>
        </w:rPr>
        <w:t>Avis du 13 juin 2019: Association d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 fait et le registre UBO</w:t>
      </w:r>
    </w:p>
    <w:p w14:paraId="249CF006" w14:textId="77777777" w:rsidR="00393477" w:rsidRPr="0005549A" w:rsidRDefault="00393477" w:rsidP="003934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9A">
        <w:rPr>
          <w:rFonts w:ascii="Times New Roman" w:eastAsia="Times New Roman" w:hAnsi="Times New Roman" w:cs="Times New Roman"/>
          <w:sz w:val="24"/>
          <w:szCs w:val="24"/>
        </w:rPr>
        <w:lastRenderedPageBreak/>
        <w:t>Advies van 7 juni 2019 : Geconsolideerde j</w:t>
      </w:r>
      <w:r>
        <w:rPr>
          <w:rFonts w:ascii="Times New Roman" w:eastAsia="Times New Roman" w:hAnsi="Times New Roman" w:cs="Times New Roman"/>
          <w:sz w:val="24"/>
          <w:szCs w:val="24"/>
        </w:rPr>
        <w:t>aarrekening en verslag van niet-bevinding</w:t>
      </w:r>
    </w:p>
    <w:p w14:paraId="249CF007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5603B4">
        <w:rPr>
          <w:rFonts w:ascii="Times New Roman" w:eastAsia="Times New Roman" w:hAnsi="Times New Roman" w:cs="Times New Roman"/>
          <w:sz w:val="24"/>
          <w:szCs w:val="24"/>
          <w:lang w:val="fr-BE"/>
        </w:rPr>
        <w:t>Avis du 26 février 2019: Non-respect de l’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obligation de soumettre les comptes annuels à l’approbation de l’assemblée générale dans les six mois de la clôture de l’exercice</w:t>
      </w:r>
    </w:p>
    <w:p w14:paraId="249CF008" w14:textId="77777777" w:rsidR="003D34D0" w:rsidRPr="005603B4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Avis du 9 juillet 2018 : Application de l’article 523 du Code des sociétés (conflit d’intérêts)</w:t>
      </w:r>
    </w:p>
    <w:p w14:paraId="249CF009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9 mei 2018: Vragen voorgelegd met betrekking tot het toepassingsgebied van de kernpunten van de controle en meer in het bijzonder van ISA 701</w:t>
      </w:r>
    </w:p>
    <w:p w14:paraId="249CF00A" w14:textId="77777777" w:rsidR="003D34D0" w:rsidRDefault="003D34D0" w:rsidP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2 maart 2018: Commissarisverslag en materialiteit voor controle van een OOB</w:t>
      </w:r>
    </w:p>
    <w:p w14:paraId="249CF00B" w14:textId="77777777" w:rsidR="003D34D0" w:rsidRPr="00450164" w:rsidRDefault="003D34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20 juli 2017: Impact op het commissarismandaat van de zetelverplaatsing van een vennootschap naar Zwitserland</w:t>
      </w:r>
    </w:p>
    <w:p w14:paraId="249CF00C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28 juni 2017: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Commissarisverslag over een voorgaand boekjaar na de zetelverplaatsing van de vennootschap vanuit België naar Nederland</w:t>
      </w:r>
    </w:p>
    <w:p w14:paraId="249CF00D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29 maart 2017: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Impact van de niet up-to-date elektronische versie van het NBB-model van jaarrekening op het commissarisverslag</w:t>
      </w:r>
    </w:p>
    <w:p w14:paraId="249CF00E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18 maart 2016: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Ondertekening van de gepubliceerde versie van het commissarisverslag</w:t>
      </w:r>
    </w:p>
    <w:p w14:paraId="249CF00F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 december 2015: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Precisering van ICCI-advies met betrekking tot de taalwetgeving</w:t>
      </w:r>
    </w:p>
    <w:p w14:paraId="249CF010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29 juni 2015: 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Controleverklaring van de commissaris – wijziging van referentiekader (ISA normen)</w:t>
      </w:r>
    </w:p>
    <w:p w14:paraId="249CF011" w14:textId="77777777" w:rsidR="008161A0" w:rsidRDefault="008161A0" w:rsidP="008161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Advies van 10 april 2014: I</w:t>
      </w:r>
      <w:r w:rsidRPr="00E1379E">
        <w:rPr>
          <w:rFonts w:ascii="Times New Roman" w:eastAsia="Times New Roman" w:hAnsi="Times New Roman" w:cs="Times New Roman"/>
          <w:sz w:val="24"/>
          <w:szCs w:val="24"/>
        </w:rPr>
        <w:t>mpact van taalwetgeving op commissarisverslagen en op auditverslagen in het algemeen</w:t>
      </w:r>
    </w:p>
    <w:p w14:paraId="249CF012" w14:textId="77777777" w:rsidR="00B146DB" w:rsidRPr="00B146DB" w:rsidRDefault="00B146DB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 juli 2013: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Hanteren van een gemeenschappelijke (merk)naam om te worden benoemd als commissaris/bedrijfsrevisor</w:t>
      </w:r>
    </w:p>
    <w:p w14:paraId="249CF013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Avis du 3 avril 2013 : Rapport du commissaire sur une société dont la faillite est inévitable suite à une cession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actif dans le cadre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une procédure de réorganisation judiciaire</w:t>
      </w:r>
    </w:p>
    <w:p w14:paraId="249CF014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10 août 2012 : 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Rectification des comptes annuels 2011 – rapport du commissaire</w:t>
      </w:r>
    </w:p>
    <w:p w14:paraId="249CF015" w14:textId="77777777" w:rsidR="002E1729" w:rsidRDefault="002E1729" w:rsidP="002E1729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21 décembre 2011 : 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Rapport du commissaire sur les comptes annuels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2E1729">
        <w:rPr>
          <w:rFonts w:ascii="Times New Roman" w:eastAsia="Calibri" w:hAnsi="Times New Roman" w:cs="Times New Roman"/>
          <w:sz w:val="24"/>
          <w:szCs w:val="24"/>
          <w:lang w:val="fr-BE"/>
        </w:rPr>
        <w:t>une société en discontinuité</w:t>
      </w:r>
    </w:p>
    <w:p w14:paraId="249CF016" w14:textId="77777777" w:rsidR="00B146DB" w:rsidRDefault="00B146DB" w:rsidP="00B146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31 maart 2011: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Commissarisverslag en systematische laattijdige neerlegging van de jaarrekening</w:t>
      </w:r>
    </w:p>
    <w:p w14:paraId="249CF017" w14:textId="77777777" w:rsidR="00B146DB" w:rsidRDefault="00B146DB" w:rsidP="00B146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23 november 2010: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Gevolgen op het commissarisverslag van het niet-naleven van de procedure bij een belangenconflict</w:t>
      </w:r>
    </w:p>
    <w:p w14:paraId="249CF018" w14:textId="77777777" w:rsidR="00B146DB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16 août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Dépôt à la Banque 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n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ationale de Belgique du scan du rapport de commissaire signé</w:t>
      </w:r>
    </w:p>
    <w:p w14:paraId="249CF019" w14:textId="77777777" w:rsidR="00B146DB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5 août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Dépôt à la Banque </w:t>
      </w:r>
      <w:r w:rsidR="00F474C6">
        <w:rPr>
          <w:rFonts w:ascii="Times New Roman" w:eastAsia="Calibri" w:hAnsi="Times New Roman" w:cs="Times New Roman"/>
          <w:sz w:val="24"/>
          <w:szCs w:val="24"/>
          <w:lang w:val="fr-BE"/>
        </w:rPr>
        <w:t>n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ationale de Belgique du scan du rapport de commissaire signé</w:t>
      </w:r>
    </w:p>
    <w:p w14:paraId="249CF01A" w14:textId="77777777" w:rsidR="002E1729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30 juin 2010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Rapport de carence et fin du mandat</w:t>
      </w:r>
    </w:p>
    <w:p w14:paraId="249CF01B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Advies van 19 mei 2010: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Weigering vanwege cliënt van publicatie commissarisverslag</w:t>
      </w:r>
    </w:p>
    <w:p w14:paraId="249CF01C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A7D">
        <w:rPr>
          <w:rFonts w:ascii="Times New Roman" w:eastAsia="Times New Roman" w:hAnsi="Times New Roman" w:cs="Times New Roman"/>
          <w:sz w:val="24"/>
          <w:szCs w:val="24"/>
        </w:rPr>
        <w:t>Advies van 30 april 2010: Toepassing van artikel 143 van het Wetboek van vennootschappen</w:t>
      </w:r>
    </w:p>
    <w:p w14:paraId="249CF01D" w14:textId="77777777" w:rsidR="00292CB1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Advies van 7 juli 2009: </w:t>
      </w:r>
      <w:r w:rsidRPr="00DD3A7D">
        <w:rPr>
          <w:rFonts w:ascii="Times New Roman" w:eastAsia="Times New Roman" w:hAnsi="Times New Roman" w:cs="Times New Roman"/>
          <w:sz w:val="24"/>
          <w:szCs w:val="24"/>
        </w:rPr>
        <w:t>Uitstel van algemene vergadering</w:t>
      </w:r>
    </w:p>
    <w:p w14:paraId="249CF01E" w14:textId="77777777" w:rsidR="00292CB1" w:rsidRPr="00935A85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25 mei 2009: Verbetering van een jaarrekening na neerlegging</w:t>
      </w:r>
    </w:p>
    <w:p w14:paraId="249CF01F" w14:textId="77777777" w:rsidR="00B146DB" w:rsidRPr="00935A85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Avis du 5 juin 2008 : Remise tardive du rapport de gestion par l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organe de gestion</w:t>
      </w:r>
    </w:p>
    <w:p w14:paraId="249CF020" w14:textId="77777777" w:rsidR="00292CB1" w:rsidRPr="00935A85" w:rsidRDefault="00292CB1" w:rsidP="00292C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21 mei 2008: Commissarisverslag in het kader van de vereffening van een naamloze vennootschap</w:t>
      </w:r>
    </w:p>
    <w:p w14:paraId="249CF021" w14:textId="77777777" w:rsidR="00292CB1" w:rsidRPr="00935A85" w:rsidRDefault="00292CB1" w:rsidP="00292CB1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A85">
        <w:rPr>
          <w:rFonts w:ascii="Times New Roman" w:eastAsia="Times New Roman" w:hAnsi="Times New Roman" w:cs="Times New Roman"/>
          <w:sz w:val="24"/>
          <w:szCs w:val="24"/>
        </w:rPr>
        <w:t>Advies van 29 april 2008: Toepassing van artikel 96 van het Wetboek van vennootschappen in een vennootschap in vereffening</w:t>
      </w:r>
    </w:p>
    <w:p w14:paraId="249CF022" w14:textId="77777777" w:rsidR="00B146DB" w:rsidRPr="00935A85" w:rsidRDefault="00B146DB" w:rsidP="00B146D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935A85">
        <w:rPr>
          <w:rFonts w:ascii="Times New Roman" w:eastAsia="Calibri" w:hAnsi="Times New Roman" w:cs="Times New Roman"/>
          <w:sz w:val="24"/>
          <w:szCs w:val="24"/>
          <w:lang w:val="fr-BE"/>
        </w:rPr>
        <w:t>Avis du 19 septembre 2007 : Le rapport du commissaire et le rapport de gestion</w:t>
      </w:r>
    </w:p>
    <w:p w14:paraId="249CF023" w14:textId="77777777" w:rsidR="00B146DB" w:rsidRDefault="00B146DB" w:rsidP="00292CB1">
      <w:pPr>
        <w:pStyle w:val="ListParagraph"/>
        <w:numPr>
          <w:ilvl w:val="0"/>
          <w:numId w:val="7"/>
        </w:numPr>
        <w:spacing w:after="360"/>
        <w:ind w:left="1145" w:hanging="357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Avis du 31 juillet 2007 : 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Absence de comptes annuels dans une fondation d</w:t>
      </w:r>
      <w:r w:rsidR="001E138C">
        <w:rPr>
          <w:rFonts w:ascii="Times New Roman" w:eastAsia="Calibri" w:hAnsi="Times New Roman" w:cs="Times New Roman"/>
          <w:sz w:val="24"/>
          <w:szCs w:val="24"/>
          <w:lang w:val="fr-BE"/>
        </w:rPr>
        <w:t>’</w:t>
      </w:r>
      <w:r w:rsidRPr="00B146DB">
        <w:rPr>
          <w:rFonts w:ascii="Times New Roman" w:eastAsia="Calibri" w:hAnsi="Times New Roman" w:cs="Times New Roman"/>
          <w:sz w:val="24"/>
          <w:szCs w:val="24"/>
          <w:lang w:val="fr-BE"/>
        </w:rPr>
        <w:t>utilité publique</w:t>
      </w:r>
    </w:p>
    <w:p w14:paraId="249CF024" w14:textId="77777777" w:rsidR="00292CB1" w:rsidRDefault="00292CB1" w:rsidP="00292CB1">
      <w:pPr>
        <w:pStyle w:val="ListParagraph"/>
        <w:spacing w:after="360"/>
        <w:ind w:left="1145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F025" w14:textId="77777777" w:rsidR="008161A0" w:rsidRPr="008161A0" w:rsidRDefault="008161A0" w:rsidP="008161A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Frequently Asked Questions (FAQs) relatives au rapport du commissaire publiées sur le site de l’ICCI</w:t>
      </w:r>
    </w:p>
    <w:p w14:paraId="249CF026" w14:textId="77777777" w:rsidR="008161A0" w:rsidRPr="008161A0" w:rsidRDefault="008161A0" w:rsidP="008161A0">
      <w:pPr>
        <w:pStyle w:val="ListParagraph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27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I.C. Le rapport de gestion fait-il partie des comptes annuels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8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Faut-il se référer uniquement aux normes nationales même si la mission est exécutée conformément aux normes ISA ou peut-on également se référer aux normes ISA?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9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En matière de continuité de l'exploitation des entreprises, la norme ISA 570 modifie-t-elle l'approche du commissaire suivie antérieurement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A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I.C.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Les normes ISA ont-elles modifié l'approche du commissaire en matière de chiffres correspondants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(19/06/2015)</w:t>
      </w:r>
    </w:p>
    <w:p w14:paraId="249CF02B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sans réserve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C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avec réserve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D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Qu’entend-on par opinion d’abstention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E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Qu’est-ce qu’une opinion négative (défavorable)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2F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Quel est l’impact sur le rapport du commissaire d’un dépôt systématiquement tardif auprès de la Banque nationale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30" w14:textId="77777777" w:rsidR="008161A0" w:rsidRDefault="008161A0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VI.B. </w:t>
      </w:r>
      <w:r w:rsidRPr="008161A0">
        <w:rPr>
          <w:rFonts w:ascii="Times New Roman" w:eastAsia="Calibri" w:hAnsi="Times New Roman" w:cs="Times New Roman"/>
          <w:sz w:val="24"/>
          <w:szCs w:val="24"/>
          <w:lang w:val="fr-BE"/>
        </w:rPr>
        <w:t>Quelles actions un commissaire peut-il entreprendre lorsqu’un client refuse le dépôt et la publication du rapport du commissaire ?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 (15/05/2015)</w:t>
      </w:r>
    </w:p>
    <w:p w14:paraId="249CF031" w14:textId="77777777" w:rsidR="00AB34FC" w:rsidRDefault="00AB34FC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>FAQ COVID-19 : Going Concern (26.03.2020)</w:t>
      </w:r>
    </w:p>
    <w:p w14:paraId="249CF032" w14:textId="77777777" w:rsidR="00ED6CB0" w:rsidRDefault="00AB34FC" w:rsidP="008161A0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FAQ COVID-19 : </w:t>
      </w:r>
      <w:r w:rsidR="00ED6CB0">
        <w:rPr>
          <w:rFonts w:ascii="Times New Roman" w:eastAsia="Calibri" w:hAnsi="Times New Roman" w:cs="Times New Roman"/>
          <w:sz w:val="24"/>
          <w:szCs w:val="24"/>
          <w:lang w:val="fr-BE"/>
        </w:rPr>
        <w:t>Comment traiter les conséquences du COVID-19 dans le rapport du commissaire sur l’exercice clos le 31/12/2019 ? (</w:t>
      </w:r>
      <w:r>
        <w:rPr>
          <w:rFonts w:ascii="Times New Roman" w:eastAsia="Calibri" w:hAnsi="Times New Roman" w:cs="Times New Roman"/>
          <w:sz w:val="24"/>
          <w:szCs w:val="24"/>
          <w:lang w:val="fr-BE"/>
        </w:rPr>
        <w:t>10.04.2020)</w:t>
      </w:r>
    </w:p>
    <w:p w14:paraId="249CF033" w14:textId="77777777" w:rsidR="00AB34FC" w:rsidRPr="008161A0" w:rsidRDefault="00AB34FC" w:rsidP="00AB34FC">
      <w:pPr>
        <w:pStyle w:val="ListParagraph"/>
        <w:ind w:left="1146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249CF034" w14:textId="77777777" w:rsidR="008161A0" w:rsidRPr="008161A0" w:rsidRDefault="008161A0" w:rsidP="008161A0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</w:p>
    <w:p w14:paraId="249CF035" w14:textId="77777777" w:rsidR="00292CB1" w:rsidRPr="008161A0" w:rsidRDefault="00292CB1" w:rsidP="008161A0">
      <w:pPr>
        <w:pStyle w:val="ListParagraph"/>
        <w:jc w:val="center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>*</w:t>
      </w: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ab/>
      </w:r>
      <w:r w:rsidRPr="008161A0">
        <w:rPr>
          <w:rFonts w:ascii="Times New Roman" w:eastAsia="Calibri" w:hAnsi="Times New Roman" w:cs="Times New Roman"/>
          <w:b/>
          <w:sz w:val="24"/>
          <w:szCs w:val="24"/>
          <w:lang w:val="fr-BE"/>
        </w:rPr>
        <w:tab/>
        <w:t>*</w:t>
      </w:r>
    </w:p>
    <w:p w14:paraId="249CF036" w14:textId="77777777" w:rsidR="002E1729" w:rsidRPr="00EB370D" w:rsidRDefault="00292CB1" w:rsidP="008161A0">
      <w:pPr>
        <w:pStyle w:val="ListParagraph"/>
        <w:autoSpaceDE w:val="0"/>
        <w:autoSpaceDN w:val="0"/>
        <w:adjustRightInd w:val="0"/>
        <w:spacing w:after="0" w:line="240" w:lineRule="auto"/>
        <w:ind w:left="4416" w:firstLine="540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8161A0">
        <w:rPr>
          <w:rFonts w:ascii="Times New Roman" w:eastAsia="Times New Roman" w:hAnsi="Times New Roman" w:cs="Times New Roman"/>
          <w:sz w:val="24"/>
          <w:szCs w:val="24"/>
          <w:lang w:val="fr-BE"/>
        </w:rPr>
        <w:t>*</w:t>
      </w:r>
    </w:p>
    <w:sectPr w:rsidR="002E1729" w:rsidRPr="00EB3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F039" w14:textId="77777777" w:rsidR="002E78B8" w:rsidRDefault="002E78B8" w:rsidP="002E78B8">
      <w:pPr>
        <w:spacing w:after="0" w:line="240" w:lineRule="auto"/>
      </w:pPr>
      <w:r>
        <w:separator/>
      </w:r>
    </w:p>
  </w:endnote>
  <w:endnote w:type="continuationSeparator" w:id="0">
    <w:p w14:paraId="249CF03A" w14:textId="77777777" w:rsidR="002E78B8" w:rsidRDefault="002E78B8" w:rsidP="002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3D" w14:textId="77777777" w:rsidR="002E78B8" w:rsidRDefault="002E7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3E" w14:textId="77777777" w:rsidR="002E78B8" w:rsidRDefault="002E7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40" w14:textId="77777777" w:rsidR="002E78B8" w:rsidRDefault="002E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F037" w14:textId="77777777" w:rsidR="002E78B8" w:rsidRDefault="002E78B8" w:rsidP="002E78B8">
      <w:pPr>
        <w:spacing w:after="0" w:line="240" w:lineRule="auto"/>
      </w:pPr>
      <w:r>
        <w:separator/>
      </w:r>
    </w:p>
  </w:footnote>
  <w:footnote w:type="continuationSeparator" w:id="0">
    <w:p w14:paraId="249CF038" w14:textId="77777777" w:rsidR="002E78B8" w:rsidRDefault="002E78B8" w:rsidP="002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3B" w14:textId="77777777" w:rsidR="002E78B8" w:rsidRDefault="002E7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3C" w14:textId="77777777" w:rsidR="002E78B8" w:rsidRDefault="002E7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03F" w14:textId="77777777" w:rsidR="002E78B8" w:rsidRDefault="002E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1C8"/>
    <w:multiLevelType w:val="hybridMultilevel"/>
    <w:tmpl w:val="9566D1BC"/>
    <w:lvl w:ilvl="0" w:tplc="98A8D22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711D82"/>
    <w:multiLevelType w:val="hybridMultilevel"/>
    <w:tmpl w:val="6914C0BC"/>
    <w:lvl w:ilvl="0" w:tplc="426E0C9E">
      <w:start w:val="1"/>
      <w:numFmt w:val="bullet"/>
      <w:lvlText w:val=""/>
      <w:lvlJc w:val="left"/>
      <w:pPr>
        <w:tabs>
          <w:tab w:val="num" w:pos="-31680"/>
        </w:tabs>
        <w:ind w:left="567" w:hanging="567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031B"/>
    <w:multiLevelType w:val="hybridMultilevel"/>
    <w:tmpl w:val="B2D892E6"/>
    <w:lvl w:ilvl="0" w:tplc="BA40D6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1BF"/>
    <w:multiLevelType w:val="hybridMultilevel"/>
    <w:tmpl w:val="0128C360"/>
    <w:lvl w:ilvl="0" w:tplc="BCDE2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8EC"/>
    <w:multiLevelType w:val="hybridMultilevel"/>
    <w:tmpl w:val="3462002E"/>
    <w:lvl w:ilvl="0" w:tplc="9F4E1342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0D8C"/>
    <w:multiLevelType w:val="hybridMultilevel"/>
    <w:tmpl w:val="2222E226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1BB2"/>
    <w:multiLevelType w:val="hybridMultilevel"/>
    <w:tmpl w:val="B5D64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6E00"/>
    <w:multiLevelType w:val="hybridMultilevel"/>
    <w:tmpl w:val="FEFC9420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4178"/>
    <w:multiLevelType w:val="hybridMultilevel"/>
    <w:tmpl w:val="C62E4D86"/>
    <w:lvl w:ilvl="0" w:tplc="98A8D2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5447"/>
    <w:multiLevelType w:val="hybridMultilevel"/>
    <w:tmpl w:val="DAA46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CDB"/>
    <w:rsid w:val="000928E5"/>
    <w:rsid w:val="00146E2A"/>
    <w:rsid w:val="0019024F"/>
    <w:rsid w:val="001E138C"/>
    <w:rsid w:val="001F7F07"/>
    <w:rsid w:val="00292CB1"/>
    <w:rsid w:val="00296628"/>
    <w:rsid w:val="002A2D6E"/>
    <w:rsid w:val="002B7C98"/>
    <w:rsid w:val="002C2444"/>
    <w:rsid w:val="002C4C3B"/>
    <w:rsid w:val="002E1729"/>
    <w:rsid w:val="002E78B8"/>
    <w:rsid w:val="00365CDB"/>
    <w:rsid w:val="00393477"/>
    <w:rsid w:val="003D34D0"/>
    <w:rsid w:val="003E0FDB"/>
    <w:rsid w:val="003F4C5D"/>
    <w:rsid w:val="00450164"/>
    <w:rsid w:val="00465D65"/>
    <w:rsid w:val="004F7FBA"/>
    <w:rsid w:val="00581BAA"/>
    <w:rsid w:val="005B706B"/>
    <w:rsid w:val="00623AAE"/>
    <w:rsid w:val="00726C43"/>
    <w:rsid w:val="00767B68"/>
    <w:rsid w:val="007A390B"/>
    <w:rsid w:val="007B298D"/>
    <w:rsid w:val="007D1588"/>
    <w:rsid w:val="00800C21"/>
    <w:rsid w:val="008026D8"/>
    <w:rsid w:val="008161A0"/>
    <w:rsid w:val="008811A3"/>
    <w:rsid w:val="008F272D"/>
    <w:rsid w:val="00906C18"/>
    <w:rsid w:val="0091234B"/>
    <w:rsid w:val="00935A85"/>
    <w:rsid w:val="0099054C"/>
    <w:rsid w:val="009F519F"/>
    <w:rsid w:val="00A875CA"/>
    <w:rsid w:val="00AB34FC"/>
    <w:rsid w:val="00B146DB"/>
    <w:rsid w:val="00B244B4"/>
    <w:rsid w:val="00B70A77"/>
    <w:rsid w:val="00C36BDB"/>
    <w:rsid w:val="00C6095A"/>
    <w:rsid w:val="00CC17FF"/>
    <w:rsid w:val="00D41A36"/>
    <w:rsid w:val="00D914E0"/>
    <w:rsid w:val="00DA2EF8"/>
    <w:rsid w:val="00DB6AF2"/>
    <w:rsid w:val="00DB7E33"/>
    <w:rsid w:val="00E401A0"/>
    <w:rsid w:val="00E54FB7"/>
    <w:rsid w:val="00EB370D"/>
    <w:rsid w:val="00ED6CB0"/>
    <w:rsid w:val="00F2489C"/>
    <w:rsid w:val="00F474C6"/>
    <w:rsid w:val="00FC4627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49C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B8"/>
  </w:style>
  <w:style w:type="paragraph" w:styleId="Footer">
    <w:name w:val="footer"/>
    <w:basedOn w:val="Normal"/>
    <w:link w:val="FooterChar"/>
    <w:uiPriority w:val="99"/>
    <w:unhideWhenUsed/>
    <w:rsid w:val="002E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ci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C3324CD-583A-4C5B-AE38-6E525F50BF25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2.xml><?xml version="1.0" encoding="utf-8"?>
<ds:datastoreItem xmlns:ds="http://schemas.openxmlformats.org/officeDocument/2006/customXml" ds:itemID="{8EB22E2E-744F-453E-A994-BB8F1587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5C1F1-8267-4295-9D96-A65EE26C2266}"/>
</file>

<file path=customXml/itemProps4.xml><?xml version="1.0" encoding="utf-8"?>
<ds:datastoreItem xmlns:ds="http://schemas.openxmlformats.org/officeDocument/2006/customXml" ds:itemID="{EAC519A9-6AD5-4BF6-8C00-63B25310B3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C6688B-B624-463F-A9CE-4346A1C11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2019-03-31T08:50:00Z</dcterms:created>
  <dcterms:modified xsi:type="dcterms:W3CDTF">2020-12-17T15:09:00Z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Order">
    <vt:r8>4906600</vt:r8>
  </property>
</Properties>
</file>