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CA" w:rsidRPr="008769D6" w:rsidRDefault="00FB1CCA" w:rsidP="00FB1CCA">
      <w:pPr>
        <w:pStyle w:val="Kop1"/>
        <w:jc w:val="both"/>
        <w:rPr>
          <w:rFonts w:ascii="Times New Roman" w:hAnsi="Times New Roman" w:cs="Times New Roman"/>
        </w:rPr>
      </w:pPr>
      <w:bookmarkStart w:id="0" w:name="_Toc505264875"/>
      <w:bookmarkStart w:id="1" w:name="_GoBack"/>
      <w:bookmarkEnd w:id="1"/>
      <w:r w:rsidRPr="008769D6">
        <w:rPr>
          <w:rFonts w:ascii="Times New Roman" w:hAnsi="Times New Roman" w:cs="Times New Roman"/>
        </w:rPr>
        <w:t>Annexes - Modèles de rapport</w:t>
      </w:r>
      <w:bookmarkEnd w:id="0"/>
    </w:p>
    <w:p w:rsidR="00FB1CCA" w:rsidRPr="008769D6" w:rsidRDefault="00FB1CCA" w:rsidP="00FB1CCA">
      <w:pPr>
        <w:jc w:val="both"/>
        <w:rPr>
          <w:rFonts w:ascii="Times New Roman" w:hAnsi="Times New Roman"/>
        </w:rPr>
      </w:pPr>
    </w:p>
    <w:p w:rsidR="00FB1CCA" w:rsidRPr="008769D6" w:rsidRDefault="00331AC9" w:rsidP="00331AC9">
      <w:pPr>
        <w:pStyle w:val="Footnote"/>
        <w:pBdr>
          <w:top w:val="single" w:sz="4" w:space="1" w:color="auto"/>
          <w:left w:val="single" w:sz="4" w:space="4" w:color="auto"/>
          <w:bottom w:val="single" w:sz="4" w:space="1" w:color="auto"/>
          <w:right w:val="single" w:sz="4" w:space="4" w:color="auto"/>
        </w:pBdr>
        <w:tabs>
          <w:tab w:val="clear" w:pos="280"/>
        </w:tabs>
        <w:spacing w:line="360" w:lineRule="auto"/>
        <w:ind w:left="0" w:firstLine="0"/>
        <w:jc w:val="center"/>
        <w:rPr>
          <w:b/>
          <w:sz w:val="28"/>
          <w:lang w:val="fr-BE"/>
        </w:rPr>
      </w:pPr>
      <w:r>
        <w:rPr>
          <w:b/>
          <w:sz w:val="28"/>
          <w:lang w:val="fr-BE"/>
        </w:rPr>
        <w:t>Version approuvée par le CSPE et soumise à l’approbation du ministre de l’Economie</w:t>
      </w:r>
    </w:p>
    <w:p w:rsidR="00FB1CCA" w:rsidRPr="008769D6" w:rsidRDefault="00FB1CCA" w:rsidP="00FB1CCA">
      <w:pPr>
        <w:pStyle w:val="Footnote"/>
        <w:tabs>
          <w:tab w:val="clear" w:pos="280"/>
        </w:tabs>
        <w:spacing w:line="360" w:lineRule="auto"/>
        <w:ind w:left="1276" w:hanging="1276"/>
        <w:rPr>
          <w:b/>
          <w:sz w:val="28"/>
          <w:lang w:val="fr-BE"/>
        </w:rPr>
      </w:pPr>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1" w:history="1">
        <w:r w:rsidR="00FB1CCA" w:rsidRPr="008769D6">
          <w:rPr>
            <w:rStyle w:val="Hyperlink"/>
            <w:rFonts w:ascii="Times New Roman" w:hAnsi="Times New Roman"/>
          </w:rPr>
          <w:t>Annexe 1 – Modèle de rapport – Comptes annuels – Entité autre que : une EIP, une entité cotée, une asbl, une aisbl ou une fondation</w:t>
        </w:r>
      </w:hyperlink>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2" w:history="1">
        <w:r w:rsidR="00FB1CCA" w:rsidRPr="008769D6">
          <w:rPr>
            <w:rStyle w:val="Hyperlink"/>
            <w:rFonts w:ascii="Times New Roman" w:hAnsi="Times New Roman"/>
          </w:rPr>
          <w:t>Annexe 2 – Modèle de rapport – Comptes annuels – EIP</w:t>
        </w:r>
      </w:hyperlink>
      <w:r w:rsidR="00FB1CCA" w:rsidRPr="008769D6">
        <w:rPr>
          <w:rFonts w:ascii="Times New Roman" w:hAnsi="Times New Roman"/>
        </w:rPr>
        <w:t xml:space="preserve"> </w:t>
      </w:r>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3" w:history="1">
        <w:r w:rsidR="00FB1CCA" w:rsidRPr="008769D6">
          <w:rPr>
            <w:rStyle w:val="Hyperlink"/>
            <w:rFonts w:ascii="Times New Roman" w:hAnsi="Times New Roman"/>
          </w:rPr>
          <w:t>Annexe 3 – Modèle de rapport – Comptes annuels – Entité cotée autre qu’une EIP</w:t>
        </w:r>
      </w:hyperlink>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4" w:history="1">
        <w:r w:rsidR="00FB1CCA" w:rsidRPr="008769D6">
          <w:rPr>
            <w:rStyle w:val="Hyperlink"/>
            <w:rFonts w:ascii="Times New Roman" w:hAnsi="Times New Roman"/>
          </w:rPr>
          <w:t>Annexe 4 – Modèle de rapport – Comptes annuels – asbl, aisbl ou fondation</w:t>
        </w:r>
      </w:hyperlink>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5" w:history="1">
        <w:r w:rsidR="00FB1CCA" w:rsidRPr="008769D6">
          <w:rPr>
            <w:rStyle w:val="Hyperlink"/>
            <w:rFonts w:ascii="Times New Roman" w:hAnsi="Times New Roman"/>
          </w:rPr>
          <w:t>Annexe 5 – Modèle de rapport – Comptes consolidés – EIP</w:t>
        </w:r>
      </w:hyperlink>
      <w:r w:rsidR="00FB1CCA" w:rsidRPr="008769D6">
        <w:rPr>
          <w:rFonts w:ascii="Times New Roman" w:hAnsi="Times New Roman"/>
        </w:rPr>
        <w:t xml:space="preserve"> </w:t>
      </w:r>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6" w:history="1">
        <w:r w:rsidR="00FB1CCA" w:rsidRPr="008769D6">
          <w:rPr>
            <w:rStyle w:val="Hyperlink"/>
            <w:rFonts w:ascii="Times New Roman" w:hAnsi="Times New Roman"/>
          </w:rPr>
          <w:t>Annexe 6 – Modèle de rapport – Comptes consolidés – Entité autre qu’une EIP</w:t>
        </w:r>
      </w:hyperlink>
    </w:p>
    <w:p w:rsidR="00FB1CCA" w:rsidRPr="008769D6" w:rsidRDefault="009D753D" w:rsidP="00FB1CCA">
      <w:pPr>
        <w:tabs>
          <w:tab w:val="left" w:pos="3261"/>
          <w:tab w:val="right" w:leader="dot" w:pos="8811"/>
        </w:tabs>
        <w:spacing w:after="0" w:line="360" w:lineRule="auto"/>
        <w:ind w:left="1134" w:hanging="1134"/>
        <w:jc w:val="both"/>
        <w:rPr>
          <w:rFonts w:ascii="Times New Roman" w:hAnsi="Times New Roman"/>
        </w:rPr>
      </w:pPr>
      <w:hyperlink w:anchor="Annexe_7" w:history="1">
        <w:r w:rsidR="00FB1CCA" w:rsidRPr="008769D6">
          <w:rPr>
            <w:rStyle w:val="Hyperlink"/>
            <w:rFonts w:ascii="Times New Roman" w:hAnsi="Times New Roman"/>
          </w:rPr>
          <w:t>Annexe 7 – Modèle de rapport de carence</w:t>
        </w:r>
      </w:hyperlink>
    </w:p>
    <w:p w:rsidR="00FB1CCA" w:rsidRPr="008769D6" w:rsidRDefault="00FB1CCA" w:rsidP="00FB1CCA">
      <w:pPr>
        <w:tabs>
          <w:tab w:val="left" w:pos="3261"/>
        </w:tabs>
        <w:jc w:val="both"/>
        <w:rPr>
          <w:rFonts w:ascii="Times New Roman" w:hAnsi="Times New Roman"/>
          <w:sz w:val="24"/>
          <w:szCs w:val="24"/>
        </w:rPr>
      </w:pPr>
      <w:r w:rsidRPr="008769D6">
        <w:rPr>
          <w:rFonts w:ascii="Times New Roman" w:hAnsi="Times New Roman"/>
          <w:sz w:val="24"/>
          <w:szCs w:val="24"/>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F5496" w:themeColor="accent1" w:themeShade="BF"/>
          <w:sz w:val="32"/>
          <w:szCs w:val="32"/>
        </w:rPr>
      </w:pPr>
      <w:bookmarkStart w:id="2" w:name="Annexe_1"/>
      <w:bookmarkStart w:id="3" w:name="_Toc505264876"/>
      <w:r w:rsidRPr="008769D6">
        <w:rPr>
          <w:rFonts w:asciiTheme="majorHAnsi" w:eastAsiaTheme="majorEastAsia" w:hAnsiTheme="majorHAnsi" w:cstheme="majorBidi"/>
          <w:color w:val="2F5496" w:themeColor="accent1" w:themeShade="BF"/>
          <w:sz w:val="32"/>
          <w:szCs w:val="32"/>
        </w:rPr>
        <w:lastRenderedPageBreak/>
        <w:t>ANNEXE 1</w:t>
      </w:r>
      <w:bookmarkEnd w:id="2"/>
      <w:r w:rsidRPr="008769D6">
        <w:rPr>
          <w:rFonts w:asciiTheme="majorHAnsi" w:eastAsiaTheme="majorEastAsia" w:hAnsiTheme="majorHAnsi" w:cstheme="majorBidi"/>
          <w:color w:val="2F5496" w:themeColor="accent1" w:themeShade="BF"/>
          <w:sz w:val="32"/>
          <w:szCs w:val="32"/>
        </w:rPr>
        <w:t xml:space="preserve"> – MODELE DE RAPPORT – COMPTES ANNUELS – </w:t>
      </w:r>
      <w:r w:rsidRPr="008769D6">
        <w:rPr>
          <w:rFonts w:asciiTheme="majorHAnsi" w:eastAsiaTheme="majorEastAsia" w:hAnsiTheme="majorHAnsi" w:cstheme="majorBidi"/>
          <w:caps/>
          <w:color w:val="2F5496" w:themeColor="accent1" w:themeShade="BF"/>
          <w:sz w:val="32"/>
          <w:szCs w:val="32"/>
        </w:rPr>
        <w:t>entité autre que : une EIP, une entité cotée, une asbl, une aisbl ou une fondation</w:t>
      </w:r>
      <w:r w:rsidRPr="008769D6">
        <w:rPr>
          <w:rFonts w:ascii="Times New Roman" w:eastAsiaTheme="majorEastAsia" w:hAnsi="Times New Roman" w:cstheme="majorBidi"/>
          <w:caps/>
          <w:color w:val="2F5496" w:themeColor="accent1" w:themeShade="BF"/>
          <w:sz w:val="28"/>
          <w:szCs w:val="28"/>
          <w:vertAlign w:val="superscript"/>
        </w:rPr>
        <w:footnoteReference w:id="1"/>
      </w:r>
      <w:bookmarkEnd w:id="3"/>
    </w:p>
    <w:p w:rsidR="00FB1CCA" w:rsidRPr="008769D6" w:rsidRDefault="00FB1CCA" w:rsidP="00FB1CCA"/>
    <w:p w:rsidR="00FB1CCA" w:rsidRPr="008769D6" w:rsidRDefault="00FB1CCA" w:rsidP="00FB1CCA">
      <w:pPr>
        <w:spacing w:after="120" w:line="240" w:lineRule="auto"/>
        <w:jc w:val="center"/>
        <w:rPr>
          <w:rFonts w:ascii="Times New Roman" w:hAnsi="Times New Roman"/>
          <w:b/>
          <w:sz w:val="24"/>
          <w:szCs w:val="24"/>
        </w:rPr>
      </w:pPr>
      <w:bookmarkStart w:id="4" w:name="_Hlk506218597"/>
      <w:r w:rsidRPr="008769D6">
        <w:rPr>
          <w:rFonts w:ascii="Times New Roman" w:hAnsi="Times New Roman"/>
          <w:b/>
          <w:sz w:val="24"/>
          <w:szCs w:val="24"/>
        </w:rPr>
        <w:t>RAPPORT DU COMMISSAIRE A L’ASSEMBLEE GENERALE DE [LA SOCIETE_____________]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ANNUELS)</w:t>
      </w:r>
    </w:p>
    <w:p w:rsidR="00FB1CCA" w:rsidRPr="008769D6" w:rsidRDefault="00FB1CCA" w:rsidP="00FB1CCA">
      <w:pPr>
        <w:jc w:val="both"/>
        <w:rPr>
          <w:rFonts w:ascii="Times New Roman" w:hAnsi="Times New Roman"/>
          <w:sz w:val="24"/>
        </w:rPr>
      </w:pPr>
      <w:r w:rsidRPr="008769D6">
        <w:rPr>
          <w:rFonts w:ascii="Times New Roman" w:hAnsi="Times New Roman"/>
          <w:sz w:val="24"/>
        </w:rPr>
        <w:t xml:space="preserve">Dans le cadre du contrôle légal des comptes annuels de [la société___] </w:t>
      </w:r>
      <w:r w:rsidRPr="008769D6">
        <w:rPr>
          <w:rFonts w:ascii="Times New Roman" w:hAnsi="Times New Roman"/>
          <w:sz w:val="24"/>
          <w:szCs w:val="24"/>
        </w:rPr>
        <w:t>(la « société »)</w:t>
      </w:r>
      <w:r w:rsidRPr="008769D6">
        <w:rPr>
          <w:rFonts w:ascii="Times New Roman" w:hAnsi="Times New Roman"/>
          <w:sz w:val="24"/>
        </w:rPr>
        <w:t>, nous vous présentons notre rapport du commissaire. Celui-ci inclut notre rapport sur les comptes annuels ainsi que les autres obligations légales et réglementaires. Le tout constitue un ensemble et est inséparable.</w:t>
      </w:r>
    </w:p>
    <w:p w:rsidR="00FB1CCA" w:rsidRPr="008769D6" w:rsidRDefault="00FB1CCA" w:rsidP="00FB1CCA">
      <w:pPr>
        <w:jc w:val="both"/>
        <w:rPr>
          <w:rFonts w:ascii="Times New Roman" w:hAnsi="Times New Roman"/>
          <w:sz w:val="24"/>
        </w:rPr>
      </w:pPr>
      <w:r w:rsidRPr="008769D6">
        <w:rPr>
          <w:rFonts w:ascii="Times New Roman" w:hAnsi="Times New Roman"/>
          <w:sz w:val="24"/>
        </w:rPr>
        <w:t>Nous avons été nommés en tant que commissaire par l’assemblée générale du [xx], conformément à la proposition de l’organe de gestion [émise sur présentation du conseil d’entreprise</w:t>
      </w:r>
      <w:r w:rsidRPr="008769D6">
        <w:rPr>
          <w:rFonts w:ascii="Times New Roman" w:hAnsi="Times New Roman"/>
          <w:sz w:val="24"/>
          <w:vertAlign w:val="superscript"/>
        </w:rPr>
        <w:footnoteReference w:id="2"/>
      </w:r>
      <w:r w:rsidRPr="008769D6">
        <w:rPr>
          <w:rFonts w:ascii="Times New Roman" w:hAnsi="Times New Roman"/>
          <w:sz w:val="24"/>
        </w:rPr>
        <w:t>]. Notre mandat de commissaire vient à échéance à la date de l’assemblée générale délibérant sur les comptes annuels clôturés au [xx]. Nous avons exercé le contrôle légal des comptes annuels de [la société xx] durant [xx] exercices consécutifs.</w:t>
      </w:r>
      <w:r w:rsidRPr="008769D6">
        <w:rPr>
          <w:rFonts w:ascii="Times New Roman" w:hAnsi="Times New Roman"/>
          <w:sz w:val="24"/>
          <w:vertAlign w:val="superscript"/>
        </w:rPr>
        <w:footnoteReference w:id="3"/>
      </w:r>
      <w:r w:rsidRPr="008769D6">
        <w:rPr>
          <w:rFonts w:ascii="Times New Roman" w:hAnsi="Times New Roman"/>
          <w:sz w:val="24"/>
        </w:rPr>
        <w:t xml:space="preserve"> </w:t>
      </w: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5" w:name="_Toc501021529"/>
      <w:bookmarkStart w:id="6" w:name="_Toc505264877"/>
      <w:r w:rsidRPr="008769D6">
        <w:rPr>
          <w:rFonts w:asciiTheme="majorHAnsi" w:eastAsiaTheme="majorEastAsia" w:hAnsiTheme="majorHAnsi" w:cstheme="majorBidi"/>
          <w:b/>
          <w:bCs/>
          <w:color w:val="2F5496" w:themeColor="accent1" w:themeShade="BF"/>
          <w:sz w:val="26"/>
          <w:szCs w:val="26"/>
          <w:lang w:eastAsia="en-GB"/>
        </w:rPr>
        <w:t>Rapport sur les comptes annuels</w:t>
      </w:r>
      <w:bookmarkEnd w:id="5"/>
      <w:bookmarkEnd w:id="6"/>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7" w:name="_Toc501021530"/>
      <w:bookmarkStart w:id="8" w:name="_Toc505264878"/>
      <w:r w:rsidRPr="008769D6">
        <w:rPr>
          <w:rFonts w:asciiTheme="majorHAnsi" w:eastAsiaTheme="majorEastAsia" w:hAnsiTheme="majorHAnsi" w:cstheme="majorBidi"/>
          <w:b/>
          <w:i/>
          <w:color w:val="2F5496" w:themeColor="accent1" w:themeShade="BF"/>
          <w:sz w:val="24"/>
          <w:szCs w:val="24"/>
        </w:rPr>
        <w:t>Opinion sans réserve</w:t>
      </w:r>
      <w:bookmarkEnd w:id="7"/>
      <w:bookmarkEnd w:id="8"/>
    </w:p>
    <w:p w:rsidR="00FB1CCA" w:rsidRPr="008769D6" w:rsidRDefault="00FB1CCA" w:rsidP="00FB1CCA">
      <w:pPr>
        <w:spacing w:after="0" w:line="240" w:lineRule="auto"/>
        <w:jc w:val="both"/>
        <w:rPr>
          <w:rFonts w:ascii="Times New Roman" w:hAnsi="Times New Roman"/>
          <w:b/>
          <w:bCs/>
          <w:i/>
          <w:sz w:val="24"/>
          <w:szCs w:val="24"/>
        </w:rPr>
      </w:pPr>
    </w:p>
    <w:p w:rsidR="00FB1CCA" w:rsidRPr="008769D6" w:rsidRDefault="00FB1CCA" w:rsidP="00FB1CCA">
      <w:pPr>
        <w:spacing w:after="0" w:line="240" w:lineRule="auto"/>
        <w:jc w:val="both"/>
        <w:rPr>
          <w:rFonts w:ascii="Times New Roman" w:hAnsi="Times New Roman"/>
          <w:sz w:val="24"/>
          <w:szCs w:val="24"/>
        </w:rPr>
      </w:pPr>
      <w:bookmarkStart w:id="9" w:name="_Hlk506198304"/>
      <w:r w:rsidRPr="008769D6">
        <w:rPr>
          <w:rFonts w:ascii="Times New Roman" w:hAnsi="Times New Roman"/>
          <w:sz w:val="24"/>
          <w:szCs w:val="24"/>
        </w:rPr>
        <w:t>Nous avons procédé au contrôle légal des comptes annuels de la société, comprenant le bilan au __ ____ 20__</w:t>
      </w:r>
      <w:bookmarkEnd w:id="9"/>
      <w:r w:rsidRPr="008769D6">
        <w:rPr>
          <w:rFonts w:ascii="Times New Roman" w:hAnsi="Times New Roman"/>
          <w:sz w:val="24"/>
          <w:szCs w:val="24"/>
        </w:rPr>
        <w:t>,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10" w:name="_Toc501021531"/>
      <w:bookmarkStart w:id="11" w:name="_Toc505264879"/>
      <w:r w:rsidRPr="008769D6">
        <w:rPr>
          <w:rFonts w:asciiTheme="majorHAnsi" w:eastAsiaTheme="majorEastAsia" w:hAnsiTheme="majorHAnsi" w:cstheme="majorBidi"/>
          <w:b/>
          <w:i/>
          <w:color w:val="2F5496" w:themeColor="accent1" w:themeShade="BF"/>
          <w:sz w:val="24"/>
          <w:szCs w:val="24"/>
          <w:lang w:bidi="he-IL"/>
        </w:rPr>
        <w:t>Fondement de l’opinion sans réserve</w:t>
      </w:r>
      <w:bookmarkEnd w:id="10"/>
      <w:bookmarkEnd w:id="11"/>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bookmarkStart w:id="12" w:name="_Hlk500233933"/>
    </w:p>
    <w:p w:rsidR="00FB1CCA" w:rsidRPr="008769D6" w:rsidRDefault="00FB1CCA" w:rsidP="00FB1CCA">
      <w:pPr>
        <w:spacing w:after="0" w:line="240" w:lineRule="auto"/>
        <w:jc w:val="both"/>
        <w:rPr>
          <w:rFonts w:ascii="Times New Roman" w:hAnsi="Times New Roman"/>
          <w:sz w:val="24"/>
          <w:szCs w:val="24"/>
        </w:rPr>
      </w:pPr>
      <w:bookmarkStart w:id="13" w:name="_Hlk506198348"/>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4"/>
      </w:r>
      <w:r w:rsidRPr="008769D6">
        <w:rPr>
          <w:rFonts w:ascii="Times New Roman" w:hAnsi="Times New Roman"/>
          <w:sz w:val="24"/>
          <w:szCs w:val="24"/>
        </w:rPr>
        <w:t xml:space="preserve">. </w:t>
      </w:r>
      <w:bookmarkEnd w:id="12"/>
      <w:r w:rsidRPr="008769D6">
        <w:rPr>
          <w:rFonts w:ascii="Times New Roman" w:hAnsi="Times New Roman"/>
          <w:sz w:val="24"/>
          <w:szCs w:val="24"/>
        </w:rPr>
        <w:t xml:space="preserve">Les responsabilités qui nous incombent en vertu de ces normes </w:t>
      </w:r>
      <w:r w:rsidRPr="008769D6">
        <w:rPr>
          <w:rFonts w:ascii="Times New Roman" w:hAnsi="Times New Roman"/>
          <w:sz w:val="24"/>
          <w:szCs w:val="24"/>
        </w:rPr>
        <w:lastRenderedPageBreak/>
        <w:t>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bookmarkEnd w:id="13"/>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4" w:name="_Toc501021532"/>
      <w:bookmarkStart w:id="15" w:name="_Toc505264880"/>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annuels</w:t>
      </w:r>
      <w:bookmarkEnd w:id="14"/>
      <w:bookmarkEnd w:id="15"/>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bookmarkStart w:id="16" w:name="_Hlk506200629"/>
      <w:r w:rsidRPr="008769D6">
        <w:rPr>
          <w:rFonts w:ascii="Times New Roman" w:hAnsi="Times New Roman"/>
          <w:sz w:val="24"/>
          <w:szCs w:val="24"/>
        </w:rPr>
        <w:t>L’organe de gestion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bookmarkEnd w:id="16"/>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7" w:name="_Toc501021533"/>
      <w:bookmarkStart w:id="18" w:name="_Toc505264881"/>
      <w:r w:rsidRPr="008769D6">
        <w:rPr>
          <w:rFonts w:asciiTheme="majorHAnsi" w:eastAsiaTheme="majorEastAsia" w:hAnsiTheme="majorHAnsi" w:cstheme="majorBidi"/>
          <w:b/>
          <w:i/>
          <w:color w:val="2F5496" w:themeColor="accent1" w:themeShade="BF"/>
          <w:sz w:val="24"/>
          <w:szCs w:val="24"/>
        </w:rPr>
        <w:t>Responsabilités du commissaire relatives à l’audit des comptes annuels</w:t>
      </w:r>
      <w:bookmarkEnd w:id="17"/>
      <w:bookmarkEnd w:id="18"/>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bookmarkStart w:id="19" w:name="_Hlk506200693"/>
      <w:r w:rsidRPr="008769D6">
        <w:rPr>
          <w:rFonts w:ascii="Times New Roman" w:hAnsi="Times New Roman"/>
          <w:sz w:val="24"/>
          <w:szCs w:val="24"/>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20" w:name="_Hlk500428187"/>
      <w:r w:rsidRPr="008769D6">
        <w:rPr>
          <w:rFonts w:ascii="Times New Roman" w:hAnsi="Times New Roman"/>
          <w:sz w:val="24"/>
          <w:szCs w:val="24"/>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19"/>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bookmarkStart w:id="21" w:name="_Hlk518485223"/>
      <w:bookmarkStart w:id="22" w:name="_Hlk506200714"/>
      <w:r w:rsidRPr="008769D6">
        <w:rPr>
          <w:rFonts w:ascii="Times New Roman" w:hAnsi="Times New Roman"/>
          <w:sz w:val="24"/>
          <w:szCs w:val="24"/>
        </w:rPr>
        <w:t xml:space="preserve">Lors de l’exécution de notre </w:t>
      </w:r>
      <w:r w:rsidRPr="00AF2A5A">
        <w:rPr>
          <w:rFonts w:ascii="Times New Roman" w:hAnsi="Times New Roman"/>
          <w:sz w:val="24"/>
          <w:szCs w:val="24"/>
        </w:rPr>
        <w:t>contrôle, nous respectons le</w:t>
      </w:r>
      <w:r w:rsidRPr="008769D6">
        <w:rPr>
          <w:rFonts w:ascii="Times New Roman" w:hAnsi="Times New Roman"/>
          <w:sz w:val="24"/>
          <w:szCs w:val="24"/>
        </w:rPr>
        <w:t xml:space="preserve"> cadre légal, réglementaire et normatif qui s’applique à l’audit des comptes annuels en Belgique.</w:t>
      </w:r>
      <w:bookmarkEnd w:id="21"/>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w:t>
      </w:r>
      <w:r w:rsidRPr="008769D6">
        <w:rPr>
          <w:rFonts w:ascii="Times New Roman" w:hAnsi="Times New Roman"/>
          <w:sz w:val="24"/>
          <w:szCs w:val="24"/>
        </w:rPr>
        <w:lastRenderedPageBreak/>
        <w:t>d’une anomalie significative résultant d’une erreur, car la fraude peut impliquer la collusion, la falsification, les omissions volontaires, les fausses déclarations ou le contournement du contrôle interne ;</w:t>
      </w:r>
    </w:p>
    <w:bookmarkEnd w:id="20"/>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bookmarkEnd w:id="22"/>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bookmarkStart w:id="23" w:name="_Hlk506200746"/>
      <w:r w:rsidRPr="008769D6">
        <w:rPr>
          <w:rFonts w:ascii="Times New Roman" w:hAnsi="Times New Roman"/>
          <w:sz w:val="24"/>
          <w:szCs w:val="24"/>
        </w:rPr>
        <w:t>Nous communiquons à l’organe de gestion notamment l’étendue des travaux d'audit et le calendrier de réalisation prévus, ainsi que les constations importantes relevées lors de notre audit, y compris toute faiblesse significative dans le contrôle interne</w:t>
      </w:r>
      <w:bookmarkEnd w:id="23"/>
      <w:r w:rsidRPr="008769D6">
        <w:rPr>
          <w:rFonts w:ascii="Times New Roman" w:hAnsi="Times New Roman"/>
          <w:sz w:val="24"/>
          <w:szCs w:val="24"/>
        </w:rPr>
        <w:t xml:space="preserve">. </w:t>
      </w: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24" w:name="_Toc501021534"/>
      <w:bookmarkStart w:id="25" w:name="_Toc505264882"/>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24"/>
      <w:bookmarkEnd w:id="25"/>
    </w:p>
    <w:p w:rsidR="00FB1CCA" w:rsidRPr="008769D6" w:rsidRDefault="00FB1CCA" w:rsidP="00FB1CCA">
      <w:pPr>
        <w:spacing w:after="0" w:line="240" w:lineRule="auto"/>
        <w:jc w:val="both"/>
        <w:rPr>
          <w:rFonts w:ascii="Times New Roman" w:hAnsi="Times New Roman"/>
          <w:sz w:val="16"/>
          <w:szCs w:val="16"/>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26" w:name="_Toc501021535"/>
      <w:bookmarkStart w:id="27" w:name="_Toc505264883"/>
      <w:r w:rsidRPr="008769D6">
        <w:rPr>
          <w:rFonts w:asciiTheme="majorHAnsi" w:eastAsiaTheme="majorEastAsia" w:hAnsiTheme="majorHAnsi" w:cstheme="majorBidi"/>
          <w:b/>
          <w:i/>
          <w:color w:val="2F5496" w:themeColor="accent1" w:themeShade="BF"/>
          <w:sz w:val="24"/>
          <w:szCs w:val="24"/>
        </w:rPr>
        <w:t>Responsabilités de l’organe de gestion</w:t>
      </w:r>
      <w:bookmarkEnd w:id="26"/>
      <w:bookmarkEnd w:id="27"/>
    </w:p>
    <w:p w:rsidR="00FB1CCA" w:rsidRPr="008769D6" w:rsidRDefault="00FB1CCA" w:rsidP="00FB1CCA">
      <w:pPr>
        <w:spacing w:after="0" w:line="240" w:lineRule="auto"/>
        <w:jc w:val="both"/>
        <w:rPr>
          <w:rFonts w:ascii="Times New Roman" w:hAnsi="Times New Roman"/>
          <w:sz w:val="24"/>
          <w:szCs w:val="24"/>
        </w:rPr>
      </w:pPr>
      <w:bookmarkStart w:id="28" w:name="_Hlk506201305"/>
      <w:r w:rsidRPr="008769D6">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28"/>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29" w:name="_Toc501021536"/>
      <w:bookmarkStart w:id="30" w:name="_Toc505264884"/>
      <w:r w:rsidRPr="008769D6">
        <w:rPr>
          <w:rFonts w:asciiTheme="majorHAnsi" w:eastAsiaTheme="majorEastAsia" w:hAnsiTheme="majorHAnsi" w:cstheme="majorBidi"/>
          <w:b/>
          <w:i/>
          <w:color w:val="2F5496" w:themeColor="accent1" w:themeShade="BF"/>
          <w:sz w:val="24"/>
          <w:szCs w:val="24"/>
        </w:rPr>
        <w:t>Responsabilités du commissaire</w:t>
      </w:r>
      <w:bookmarkEnd w:id="29"/>
      <w:bookmarkEnd w:id="30"/>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31" w:name="_Toc501021537"/>
      <w:bookmarkStart w:id="32" w:name="_Toc505264885"/>
      <w:r w:rsidRPr="008769D6">
        <w:rPr>
          <w:rFonts w:asciiTheme="majorHAnsi" w:eastAsiaTheme="majorEastAsia" w:hAnsiTheme="majorHAnsi" w:cstheme="majorBidi"/>
          <w:b/>
          <w:i/>
          <w:color w:val="2F5496" w:themeColor="accent1" w:themeShade="BF"/>
          <w:sz w:val="24"/>
          <w:szCs w:val="24"/>
        </w:rPr>
        <w:lastRenderedPageBreak/>
        <w:t>Aspects relatifs au rapport de gestion [le cas échéant : et aux autres informations contenues dans le rapport annuel]</w:t>
      </w:r>
      <w:bookmarkEnd w:id="31"/>
      <w:bookmarkEnd w:id="32"/>
    </w:p>
    <w:p w:rsidR="00FB1CCA" w:rsidRPr="008769D6" w:rsidRDefault="00FB1CCA" w:rsidP="00FB1CCA">
      <w:pPr>
        <w:spacing w:after="0" w:line="240" w:lineRule="auto"/>
        <w:jc w:val="both"/>
        <w:rPr>
          <w:rFonts w:ascii="Times New Roman" w:hAnsi="Times New Roman"/>
          <w:sz w:val="24"/>
          <w:szCs w:val="24"/>
        </w:rPr>
      </w:pPr>
      <w:r w:rsidRPr="008769D6" w:rsidDel="004266F3">
        <w:rPr>
          <w:rFonts w:ascii="Times New Roman" w:hAnsi="Times New Roman"/>
          <w:sz w:val="24"/>
          <w:szCs w:val="24"/>
        </w:rPr>
        <w:t>A</w:t>
      </w:r>
      <w:r w:rsidRPr="008769D6">
        <w:rPr>
          <w:rFonts w:ascii="Times New Roman" w:hAnsi="Times New Roman"/>
          <w:sz w:val="24"/>
          <w:szCs w:val="24"/>
        </w:rPr>
        <w:t>A l’issue des vérifications spécifiques sur le rapport de gestion, nous sommes d’avis que celui-ci concorde avec les comptes annuels pour le même exercice et a été établi conformément aux articles 95 et 96 du Code des sociétés.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33" w:name="_Hlk506217928"/>
    </w:p>
    <w:p w:rsidR="00FB1CCA" w:rsidRPr="008769D6" w:rsidRDefault="00FB1CCA" w:rsidP="00FB1CCA">
      <w:pPr>
        <w:spacing w:after="0" w:line="240" w:lineRule="auto"/>
        <w:jc w:val="both"/>
        <w:rPr>
          <w:rFonts w:ascii="Times New Roman" w:hAnsi="Times New Roman"/>
          <w:sz w:val="24"/>
          <w:szCs w:val="24"/>
        </w:rPr>
      </w:pPr>
    </w:p>
    <w:bookmarkEnd w:id="33"/>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769D6">
        <w:rPr>
          <w:rFonts w:ascii="Times New Roman" w:hAnsi="Times New Roman"/>
          <w:sz w:val="24"/>
          <w:szCs w:val="24"/>
          <w:vertAlign w:val="superscript"/>
        </w:rPr>
        <w:footnoteReference w:id="5"/>
      </w: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b/>
          <w:i/>
          <w:sz w:val="24"/>
          <w:szCs w:val="24"/>
          <w:u w:val="single"/>
          <w:vertAlign w:val="superscript"/>
        </w:rPr>
        <w:t xml:space="preserve"> [</w:t>
      </w:r>
      <w:r w:rsidRPr="008769D6">
        <w:rPr>
          <w:rFonts w:ascii="Times New Roman" w:hAnsi="Times New Roman"/>
          <w:b/>
          <w:i/>
          <w:sz w:val="24"/>
          <w:szCs w:val="24"/>
          <w:u w:val="single"/>
          <w:vertAlign w:val="superscript"/>
        </w:rPr>
        <w:footnoteReference w:id="6"/>
      </w:r>
      <w:r w:rsidRPr="008769D6">
        <w:rPr>
          <w:rFonts w:ascii="Times New Roman" w:hAnsi="Times New Roman"/>
          <w:b/>
          <w:i/>
          <w:sz w:val="24"/>
          <w:szCs w:val="24"/>
          <w:u w:val="single"/>
          <w:vertAlign w:val="superscript"/>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35" w:name="_Toc501021538"/>
      <w:bookmarkStart w:id="36" w:name="_Toc505264886"/>
      <w:r w:rsidRPr="008769D6">
        <w:rPr>
          <w:rFonts w:asciiTheme="majorHAnsi" w:eastAsiaTheme="majorEastAsia" w:hAnsiTheme="majorHAnsi" w:cstheme="majorBidi"/>
          <w:b/>
          <w:i/>
          <w:color w:val="2F5496" w:themeColor="accent1" w:themeShade="BF"/>
          <w:sz w:val="24"/>
          <w:szCs w:val="24"/>
        </w:rPr>
        <w:t>Mention relative au bilan social</w:t>
      </w:r>
      <w:bookmarkEnd w:id="35"/>
      <w:bookmarkEnd w:id="36"/>
    </w:p>
    <w:p w:rsidR="00FB1CCA" w:rsidRPr="008769D6" w:rsidRDefault="00FB1CCA" w:rsidP="00FB1CCA">
      <w:pPr>
        <w:spacing w:after="0" w:line="240" w:lineRule="auto"/>
        <w:jc w:val="both"/>
        <w:rPr>
          <w:rFonts w:ascii="Times New Roman" w:hAnsi="Times New Roman"/>
          <w:sz w:val="24"/>
          <w:szCs w:val="24"/>
        </w:rPr>
      </w:pPr>
      <w:bookmarkStart w:id="37" w:name="_Hlk504059336"/>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xml:space="preserve">, 6°/2 du Code des sociétés, traite, tant au niveau de la forme qu’au niveau du contenu, des mentions requises par ce Code, et ne comprend pas d’incohérences significatives par rapport aux informations </w:t>
      </w:r>
      <w:bookmarkStart w:id="38" w:name="_Hlk500254438"/>
      <w:r w:rsidRPr="008769D6">
        <w:rPr>
          <w:rFonts w:ascii="Times New Roman" w:hAnsi="Times New Roman"/>
          <w:sz w:val="24"/>
          <w:szCs w:val="24"/>
        </w:rPr>
        <w:t xml:space="preserve">dont nous disposons dans </w:t>
      </w:r>
      <w:bookmarkEnd w:id="37"/>
      <w:r w:rsidRPr="008769D6">
        <w:rPr>
          <w:rFonts w:ascii="Times New Roman" w:hAnsi="Times New Roman"/>
          <w:sz w:val="24"/>
          <w:szCs w:val="24"/>
        </w:rPr>
        <w:t>le cadre de notre mission.</w:t>
      </w:r>
      <w:bookmarkEnd w:id="38"/>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39" w:name="_Toc501021539"/>
      <w:bookmarkStart w:id="40" w:name="_Toc505264887"/>
      <w:r w:rsidRPr="008769D6">
        <w:rPr>
          <w:rFonts w:asciiTheme="majorHAnsi" w:eastAsiaTheme="majorEastAsia" w:hAnsiTheme="majorHAnsi" w:cstheme="majorBidi"/>
          <w:b/>
          <w:i/>
          <w:color w:val="2F5496" w:themeColor="accent1" w:themeShade="BF"/>
          <w:sz w:val="24"/>
          <w:szCs w:val="24"/>
        </w:rPr>
        <w:lastRenderedPageBreak/>
        <w:t>[Mention relative aux documents à déposer conformément à l’article 100, § 1</w:t>
      </w:r>
      <w:r w:rsidRPr="008769D6">
        <w:rPr>
          <w:rFonts w:asciiTheme="majorHAnsi" w:eastAsiaTheme="majorEastAsia" w:hAnsiTheme="majorHAnsi" w:cstheme="majorBidi"/>
          <w:b/>
          <w:i/>
          <w:color w:val="2F5496" w:themeColor="accent1" w:themeShade="BF"/>
          <w:sz w:val="24"/>
          <w:szCs w:val="24"/>
          <w:vertAlign w:val="superscript"/>
        </w:rPr>
        <w:t>er</w:t>
      </w:r>
      <w:r w:rsidRPr="008769D6">
        <w:rPr>
          <w:rFonts w:asciiTheme="majorHAnsi" w:eastAsiaTheme="majorEastAsia" w:hAnsiTheme="majorHAnsi" w:cstheme="majorBidi"/>
          <w:b/>
          <w:i/>
          <w:color w:val="2F5496" w:themeColor="accent1" w:themeShade="BF"/>
          <w:sz w:val="24"/>
          <w:szCs w:val="24"/>
        </w:rPr>
        <w:t>, 5° et 6°/1 du Code des sociétés] [Le cas échéant, si les données ne sont pas déjà fournies de façon distincte dans les comptes annuels]</w:t>
      </w:r>
      <w:bookmarkEnd w:id="39"/>
      <w:bookmarkEnd w:id="40"/>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w:t>
      </w:r>
      <w:bookmarkStart w:id="41" w:name="_Hlk500254478"/>
      <w:r w:rsidRPr="008769D6">
        <w:rPr>
          <w:rFonts w:ascii="Times New Roman" w:hAnsi="Times New Roman"/>
          <w:color w:val="000000" w:themeColor="text1"/>
          <w:sz w:val="24"/>
          <w:szCs w:val="24"/>
        </w:rPr>
        <w:t xml:space="preserve">dont nous avons eu connaissance dans le cadre de notre </w:t>
      </w:r>
      <w:bookmarkEnd w:id="41"/>
      <w:r w:rsidRPr="008769D6">
        <w:rPr>
          <w:rFonts w:ascii="Times New Roman" w:hAnsi="Times New Roman"/>
          <w:color w:val="000000" w:themeColor="text1"/>
          <w:sz w:val="24"/>
          <w:szCs w:val="24"/>
        </w:rPr>
        <w:t xml:space="preserve">mission </w:t>
      </w:r>
      <w:r w:rsidRPr="008769D6">
        <w:rPr>
          <w:rFonts w:ascii="Times New Roman" w:hAnsi="Times New Roman"/>
          <w:sz w:val="24"/>
          <w:szCs w:val="24"/>
        </w:rPr>
        <w:t>:</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rsidR="00FB1CCA" w:rsidRPr="008769D6" w:rsidRDefault="00FB1CCA" w:rsidP="00FB1CCA">
      <w:pPr>
        <w:numPr>
          <w:ilvl w:val="0"/>
          <w:numId w:val="7"/>
        </w:numPr>
        <w:spacing w:after="0"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rsidR="00FB1CCA" w:rsidRPr="008769D6" w:rsidRDefault="00FB1CCA" w:rsidP="00FB1CCA">
      <w:pPr>
        <w:spacing w:after="0"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42" w:name="_Toc501021540"/>
      <w:bookmarkStart w:id="43" w:name="_Toc505264888"/>
      <w:r w:rsidRPr="008769D6">
        <w:rPr>
          <w:rFonts w:asciiTheme="majorHAnsi" w:eastAsiaTheme="majorEastAsia" w:hAnsiTheme="majorHAnsi" w:cstheme="majorBidi"/>
          <w:b/>
          <w:i/>
          <w:color w:val="2F5496" w:themeColor="accent1" w:themeShade="BF"/>
          <w:sz w:val="24"/>
          <w:szCs w:val="24"/>
        </w:rPr>
        <w:t>Mentions relatives à l’indépendance</w:t>
      </w:r>
      <w:bookmarkEnd w:id="42"/>
      <w:bookmarkEnd w:id="43"/>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7"/>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 </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spacing w:after="0" w:line="240" w:lineRule="auto"/>
        <w:ind w:left="709"/>
        <w:jc w:val="both"/>
        <w:rPr>
          <w:rFonts w:ascii="Times New Roman" w:hAnsi="Times New Roman"/>
          <w:sz w:val="24"/>
          <w:szCs w:val="24"/>
        </w:rPr>
      </w:pPr>
      <w:r w:rsidRPr="008769D6" w:rsidDel="0050667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ventilés et valorisés dans l’annexe des comptes annuels.</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44" w:name="_Toc501021541"/>
      <w:bookmarkStart w:id="45" w:name="_Toc505264889"/>
      <w:r w:rsidRPr="008769D6">
        <w:rPr>
          <w:rFonts w:asciiTheme="majorHAnsi" w:eastAsiaTheme="majorEastAsia" w:hAnsiTheme="majorHAnsi" w:cstheme="majorBidi"/>
          <w:b/>
          <w:i/>
          <w:color w:val="2F5496" w:themeColor="accent1" w:themeShade="BF"/>
          <w:sz w:val="24"/>
          <w:szCs w:val="24"/>
        </w:rPr>
        <w:t>Autres mentions</w:t>
      </w:r>
      <w:bookmarkEnd w:id="44"/>
      <w:bookmarkEnd w:id="45"/>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lastRenderedPageBreak/>
        <w:t>Sans préjudice d’aspects formels d’importance mineure, la comptabilité est tenue conformément aux dispositions légales et réglementaires applicables en Belgique.</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sidDel="002F3B46">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rsidR="00FB1CCA" w:rsidRPr="008769D6" w:rsidRDefault="00FB1CCA" w:rsidP="00FB1CCA">
      <w:pPr>
        <w:spacing w:after="0" w:line="240" w:lineRule="auto"/>
        <w:ind w:left="360"/>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b/>
          <w:sz w:val="24"/>
          <w:szCs w:val="24"/>
          <w:u w:val="single"/>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bookmarkEnd w:id="4"/>
    </w:p>
    <w:p w:rsidR="00FB1CCA" w:rsidRPr="008769D6" w:rsidRDefault="00FB1CCA" w:rsidP="00FB1CCA">
      <w:pPr>
        <w:keepNext/>
        <w:keepLines/>
        <w:spacing w:before="240" w:after="0"/>
        <w:outlineLvl w:val="0"/>
        <w:rPr>
          <w:rFonts w:asciiTheme="majorHAnsi" w:eastAsiaTheme="majorEastAsia" w:hAnsiTheme="majorHAnsi" w:cstheme="majorBidi"/>
          <w:caps/>
          <w:color w:val="2F5496" w:themeColor="accent1" w:themeShade="BF"/>
          <w:sz w:val="32"/>
          <w:szCs w:val="32"/>
        </w:rPr>
      </w:pPr>
      <w:r w:rsidRPr="008769D6">
        <w:rPr>
          <w:rFonts w:asciiTheme="majorHAnsi" w:eastAsiaTheme="majorEastAsia" w:hAnsiTheme="majorHAnsi" w:cstheme="majorBidi"/>
          <w:color w:val="2F5496" w:themeColor="accent1" w:themeShade="BF"/>
          <w:sz w:val="24"/>
          <w:szCs w:val="24"/>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outlineLvl w:val="0"/>
        <w:rPr>
          <w:rFonts w:asciiTheme="majorHAnsi" w:eastAsiaTheme="majorEastAsia" w:hAnsiTheme="majorHAnsi" w:cstheme="majorBidi"/>
          <w:caps/>
          <w:color w:val="2F5496" w:themeColor="accent1" w:themeShade="BF"/>
          <w:sz w:val="32"/>
          <w:szCs w:val="32"/>
        </w:rPr>
      </w:pPr>
      <w:bookmarkStart w:id="46" w:name="Annexe_2"/>
      <w:bookmarkStart w:id="47" w:name="_Toc505264890"/>
      <w:r w:rsidRPr="008769D6">
        <w:rPr>
          <w:rFonts w:asciiTheme="majorHAnsi" w:eastAsiaTheme="majorEastAsia" w:hAnsiTheme="majorHAnsi" w:cstheme="majorBidi"/>
          <w:color w:val="2F5496" w:themeColor="accent1" w:themeShade="BF"/>
          <w:sz w:val="32"/>
          <w:szCs w:val="32"/>
        </w:rPr>
        <w:lastRenderedPageBreak/>
        <w:t>ANNEXE 2</w:t>
      </w:r>
      <w:bookmarkEnd w:id="46"/>
      <w:r w:rsidRPr="008769D6">
        <w:rPr>
          <w:rFonts w:asciiTheme="majorHAnsi" w:eastAsiaTheme="majorEastAsia" w:hAnsiTheme="majorHAnsi" w:cstheme="majorBidi"/>
          <w:color w:val="2F5496" w:themeColor="accent1" w:themeShade="BF"/>
          <w:sz w:val="32"/>
          <w:szCs w:val="32"/>
        </w:rPr>
        <w:t xml:space="preserve"> – MODELE DE RAPPORT – COMPTES ANNUELS –</w:t>
      </w:r>
      <w:r w:rsidRPr="008769D6">
        <w:rPr>
          <w:rFonts w:asciiTheme="majorHAnsi" w:eastAsiaTheme="majorEastAsia" w:hAnsiTheme="majorHAnsi" w:cstheme="majorBidi"/>
          <w:caps/>
          <w:color w:val="2F5496" w:themeColor="accent1" w:themeShade="BF"/>
          <w:sz w:val="32"/>
          <w:szCs w:val="32"/>
        </w:rPr>
        <w:t xml:space="preserve"> EIP</w:t>
      </w:r>
      <w:bookmarkEnd w:id="47"/>
    </w:p>
    <w:p w:rsidR="00FB1CCA" w:rsidRPr="008769D6" w:rsidRDefault="00FB1CCA" w:rsidP="00FB1CCA"/>
    <w:p w:rsidR="00FB1CCA" w:rsidRPr="008769D6" w:rsidRDefault="00FB1CCA" w:rsidP="00FB1CCA">
      <w:pPr>
        <w:spacing w:after="0" w:line="240" w:lineRule="auto"/>
        <w:jc w:val="center"/>
        <w:rPr>
          <w:rFonts w:ascii="Times New Roman" w:hAnsi="Times New Roman"/>
          <w:b/>
          <w:sz w:val="24"/>
          <w:szCs w:val="24"/>
        </w:rPr>
      </w:pPr>
      <w:bookmarkStart w:id="48" w:name="_Hlk506218699"/>
      <w:r w:rsidRPr="008769D6">
        <w:rPr>
          <w:rFonts w:ascii="Times New Roman" w:hAnsi="Times New Roman"/>
          <w:b/>
          <w:sz w:val="24"/>
          <w:szCs w:val="24"/>
        </w:rPr>
        <w:t>RAPPORT DU COMMISSAIRE A L’ASSEMBLEE GENERALE DE [LA SOCIETE_____________]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ANNUELS)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8769D6">
        <w:rPr>
          <w:rFonts w:ascii="Times New Roman" w:hAnsi="Times New Roman"/>
          <w:sz w:val="24"/>
          <w:szCs w:val="24"/>
          <w:vertAlign w:val="superscript"/>
        </w:rPr>
        <w:footnoteReference w:id="8"/>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49" w:name="_Toc501021543"/>
      <w:bookmarkStart w:id="50" w:name="_Toc505264891"/>
      <w:r w:rsidRPr="008769D6">
        <w:rPr>
          <w:rFonts w:asciiTheme="majorHAnsi" w:eastAsiaTheme="majorEastAsia" w:hAnsiTheme="majorHAnsi" w:cstheme="majorBidi"/>
          <w:b/>
          <w:bCs/>
          <w:color w:val="2F5496" w:themeColor="accent1" w:themeShade="BF"/>
          <w:sz w:val="26"/>
          <w:szCs w:val="26"/>
          <w:lang w:eastAsia="en-GB"/>
        </w:rPr>
        <w:t>Rapport sur les comptes annuels</w:t>
      </w:r>
      <w:bookmarkEnd w:id="49"/>
      <w:bookmarkEnd w:id="50"/>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51" w:name="_Toc501021544"/>
      <w:bookmarkStart w:id="52" w:name="_Toc505264892"/>
      <w:r w:rsidRPr="008769D6">
        <w:rPr>
          <w:rFonts w:asciiTheme="majorHAnsi" w:eastAsiaTheme="majorEastAsia" w:hAnsiTheme="majorHAnsi" w:cstheme="majorBidi"/>
          <w:b/>
          <w:i/>
          <w:color w:val="2F5496" w:themeColor="accent1" w:themeShade="BF"/>
          <w:sz w:val="24"/>
          <w:szCs w:val="24"/>
        </w:rPr>
        <w:t>Opinion sans réserve</w:t>
      </w:r>
      <w:bookmarkEnd w:id="51"/>
      <w:bookmarkEnd w:id="52"/>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53" w:name="_Toc501021545"/>
      <w:bookmarkStart w:id="54" w:name="_Toc505264893"/>
      <w:r w:rsidRPr="008769D6">
        <w:rPr>
          <w:rFonts w:asciiTheme="majorHAnsi" w:eastAsiaTheme="majorEastAsia" w:hAnsiTheme="majorHAnsi" w:cstheme="majorBidi"/>
          <w:b/>
          <w:i/>
          <w:color w:val="2F5496" w:themeColor="accent1" w:themeShade="BF"/>
          <w:sz w:val="24"/>
          <w:szCs w:val="24"/>
          <w:lang w:bidi="he-IL"/>
        </w:rPr>
        <w:t>Fondement de l’opinion sans réserve</w:t>
      </w:r>
      <w:bookmarkEnd w:id="53"/>
      <w:bookmarkEnd w:id="54"/>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9"/>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lastRenderedPageBreak/>
        <w:t>Nous avons obtenu de l’organe de gestion et des préposés de la société,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55" w:name="_Toc501021546"/>
      <w:bookmarkStart w:id="56" w:name="_Toc505264894"/>
      <w:r w:rsidRPr="008769D6">
        <w:rPr>
          <w:rFonts w:asciiTheme="majorHAnsi" w:eastAsiaTheme="majorEastAsia" w:hAnsiTheme="majorHAnsi" w:cstheme="majorBidi"/>
          <w:b/>
          <w:i/>
          <w:color w:val="2F5496" w:themeColor="accent1" w:themeShade="BF"/>
          <w:sz w:val="24"/>
          <w:szCs w:val="24"/>
        </w:rPr>
        <w:t>Points clés de l’audit</w:t>
      </w:r>
      <w:bookmarkEnd w:id="55"/>
      <w:bookmarkEnd w:id="56"/>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rsidR="00FB1CCA" w:rsidRPr="008769D6" w:rsidRDefault="00FB1CCA" w:rsidP="00FB1CCA">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rsidR="00FB1CCA" w:rsidRPr="008769D6" w:rsidRDefault="00FB1CCA" w:rsidP="00FB1CCA">
      <w:pPr>
        <w:spacing w:after="0" w:line="240" w:lineRule="auto"/>
        <w:jc w:val="both"/>
        <w:rPr>
          <w:rFonts w:ascii="Times New Roman" w:hAnsi="Times New Roman"/>
          <w:i/>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57" w:name="_Toc501021547"/>
      <w:bookmarkStart w:id="58" w:name="_Toc505264895"/>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annuels</w:t>
      </w:r>
      <w:bookmarkEnd w:id="57"/>
      <w:bookmarkEnd w:id="58"/>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59" w:name="_Toc501021548"/>
      <w:bookmarkStart w:id="60" w:name="_Toc505264896"/>
      <w:r w:rsidRPr="008769D6">
        <w:rPr>
          <w:rFonts w:asciiTheme="majorHAnsi" w:eastAsiaTheme="majorEastAsia" w:hAnsiTheme="majorHAnsi" w:cstheme="majorBidi"/>
          <w:b/>
          <w:i/>
          <w:color w:val="2F5496" w:themeColor="accent1" w:themeShade="BF"/>
          <w:sz w:val="24"/>
          <w:szCs w:val="24"/>
        </w:rPr>
        <w:t>Responsabilités du commissaire relatives à l’audit des comptes annuels</w:t>
      </w:r>
      <w:bookmarkEnd w:id="59"/>
      <w:bookmarkEnd w:id="60"/>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w:t>
      </w:r>
      <w:r w:rsidRPr="008769D6">
        <w:rPr>
          <w:rFonts w:ascii="Times New Roman" w:hAnsi="Times New Roman"/>
          <w:sz w:val="24"/>
          <w:szCs w:val="24"/>
        </w:rPr>
        <w:lastRenderedPageBreak/>
        <w:t>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bookmarkStart w:id="61" w:name="_Hlk506200816"/>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61"/>
    </w:p>
    <w:p w:rsidR="00FB1CCA" w:rsidRPr="008769D6" w:rsidRDefault="00FB1CCA" w:rsidP="00FB1CCA">
      <w:pPr>
        <w:spacing w:after="0" w:line="240" w:lineRule="auto"/>
        <w:jc w:val="both"/>
        <w:rPr>
          <w:rFonts w:ascii="Times New Roman" w:hAnsi="Times New Roman"/>
          <w:sz w:val="24"/>
          <w:szCs w:val="24"/>
        </w:rPr>
      </w:pPr>
    </w:p>
    <w:p w:rsidR="00FB1CCA" w:rsidRDefault="00FB1CCA" w:rsidP="00FB1CCA">
      <w:pPr>
        <w:rPr>
          <w:rFonts w:asciiTheme="majorHAnsi" w:eastAsiaTheme="majorEastAsia" w:hAnsiTheme="majorHAnsi" w:cstheme="majorBidi"/>
          <w:b/>
          <w:bCs/>
          <w:color w:val="2F5496" w:themeColor="accent1" w:themeShade="BF"/>
          <w:sz w:val="26"/>
          <w:szCs w:val="26"/>
          <w:lang w:eastAsia="en-GB"/>
        </w:rPr>
      </w:pPr>
      <w:bookmarkStart w:id="62" w:name="_Toc501021549"/>
      <w:bookmarkStart w:id="63" w:name="_Toc505264897"/>
      <w:bookmarkStart w:id="64" w:name="_Hlk503367278"/>
    </w:p>
    <w:p w:rsidR="00FB1CCA" w:rsidRDefault="00FB1CCA" w:rsidP="00FB1CCA">
      <w:pPr>
        <w:rPr>
          <w:rFonts w:asciiTheme="majorHAnsi" w:eastAsiaTheme="majorEastAsia" w:hAnsiTheme="majorHAnsi" w:cstheme="majorBidi"/>
          <w:b/>
          <w:bCs/>
          <w:color w:val="2F5496" w:themeColor="accent1" w:themeShade="BF"/>
          <w:sz w:val="26"/>
          <w:szCs w:val="26"/>
          <w:lang w:eastAsia="en-GB"/>
        </w:rPr>
      </w:pPr>
    </w:p>
    <w:p w:rsidR="00FB1CCA" w:rsidRDefault="00FB1CCA" w:rsidP="00FB1CCA">
      <w:pPr>
        <w:rPr>
          <w:rFonts w:asciiTheme="majorHAnsi" w:eastAsiaTheme="majorEastAsia" w:hAnsiTheme="majorHAnsi" w:cstheme="majorBidi"/>
          <w:b/>
          <w:bCs/>
          <w:color w:val="2F5496" w:themeColor="accent1" w:themeShade="BF"/>
          <w:sz w:val="26"/>
          <w:szCs w:val="26"/>
          <w:lang w:eastAsia="en-GB"/>
        </w:rPr>
      </w:pPr>
    </w:p>
    <w:p w:rsidR="00FB1CCA" w:rsidRPr="008769D6" w:rsidRDefault="00FB1CCA" w:rsidP="00FB1CCA">
      <w:pPr>
        <w:rPr>
          <w:rFonts w:asciiTheme="majorHAnsi" w:eastAsiaTheme="majorEastAsia" w:hAnsiTheme="majorHAnsi" w:cstheme="majorBidi"/>
          <w:b/>
          <w:bCs/>
          <w:color w:val="2F5496" w:themeColor="accent1" w:themeShade="BF"/>
          <w:sz w:val="26"/>
          <w:szCs w:val="26"/>
          <w:lang w:eastAsia="en-GB"/>
        </w:rPr>
      </w:pPr>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62"/>
      <w:bookmarkEnd w:id="63"/>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65" w:name="_Toc501021550"/>
      <w:bookmarkStart w:id="66" w:name="_Toc505264898"/>
      <w:r w:rsidRPr="008769D6">
        <w:rPr>
          <w:rFonts w:asciiTheme="majorHAnsi" w:eastAsiaTheme="majorEastAsia" w:hAnsiTheme="majorHAnsi" w:cstheme="majorBidi"/>
          <w:b/>
          <w:i/>
          <w:color w:val="2F5496" w:themeColor="accent1" w:themeShade="BF"/>
          <w:sz w:val="24"/>
          <w:szCs w:val="24"/>
        </w:rPr>
        <w:lastRenderedPageBreak/>
        <w:t>Responsabilités de l’organe de gestion</w:t>
      </w:r>
      <w:bookmarkEnd w:id="65"/>
      <w:bookmarkEnd w:id="66"/>
    </w:p>
    <w:p w:rsidR="00FB1CCA" w:rsidRPr="008769D6" w:rsidRDefault="00FB1CCA" w:rsidP="00FB1CCA">
      <w:pPr>
        <w:spacing w:after="0" w:line="240" w:lineRule="auto"/>
        <w:jc w:val="both"/>
        <w:rPr>
          <w:rFonts w:ascii="Times New Roman" w:hAnsi="Times New Roman"/>
          <w:sz w:val="24"/>
          <w:szCs w:val="24"/>
        </w:rPr>
      </w:pPr>
      <w:bookmarkStart w:id="67" w:name="_Hlk506201428"/>
      <w:r w:rsidRPr="008769D6">
        <w:rPr>
          <w:rFonts w:ascii="Times New Roman" w:hAnsi="Times New Roman"/>
          <w:sz w:val="24"/>
          <w:szCs w:val="24"/>
        </w:rPr>
        <w:t>L’organe de gestion est responsable de la préparation et du contenu du rapport de gestion [, de la déclaration non financière annexée à celui-ci</w:t>
      </w:r>
      <w:bookmarkStart w:id="68" w:name="_Hlk506201481"/>
      <w:r w:rsidRPr="008769D6">
        <w:rPr>
          <w:rFonts w:ascii="Times New Roman" w:hAnsi="Times New Roman"/>
          <w:sz w:val="24"/>
          <w:szCs w:val="24"/>
          <w:vertAlign w:val="superscript"/>
        </w:rPr>
        <w:footnoteReference w:id="10"/>
      </w:r>
      <w:bookmarkEnd w:id="68"/>
      <w:r w:rsidRPr="008769D6">
        <w:rPr>
          <w:rFonts w:ascii="Times New Roman" w:hAnsi="Times New Roman"/>
          <w:sz w:val="24"/>
          <w:szCs w:val="24"/>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67"/>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69" w:name="_Toc501021551"/>
      <w:bookmarkStart w:id="70" w:name="_Toc505264899"/>
      <w:r w:rsidRPr="008769D6">
        <w:rPr>
          <w:rFonts w:asciiTheme="majorHAnsi" w:eastAsiaTheme="majorEastAsia" w:hAnsiTheme="majorHAnsi" w:cstheme="majorBidi"/>
          <w:b/>
          <w:i/>
          <w:color w:val="2F5496" w:themeColor="accent1" w:themeShade="BF"/>
          <w:sz w:val="24"/>
          <w:szCs w:val="24"/>
        </w:rPr>
        <w:t>Responsabilités du commissaire</w:t>
      </w:r>
      <w:bookmarkEnd w:id="69"/>
      <w:bookmarkEnd w:id="70"/>
    </w:p>
    <w:p w:rsidR="00FB1CCA" w:rsidRPr="008769D6" w:rsidRDefault="00FB1CCA" w:rsidP="00FB1CCA">
      <w:pPr>
        <w:spacing w:after="0" w:line="240" w:lineRule="auto"/>
        <w:jc w:val="both"/>
        <w:rPr>
          <w:rFonts w:ascii="Times New Roman" w:hAnsi="Times New Roman"/>
          <w:sz w:val="24"/>
          <w:szCs w:val="24"/>
        </w:rPr>
      </w:pPr>
      <w:bookmarkStart w:id="71" w:name="_Hlk506201649"/>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 la déclaration non financière annexée à celui-ci</w:t>
      </w:r>
      <w:bookmarkStart w:id="72" w:name="_Hlk506201664"/>
      <w:r w:rsidRPr="008769D6">
        <w:rPr>
          <w:rFonts w:ascii="Times New Roman" w:hAnsi="Times New Roman"/>
          <w:sz w:val="24"/>
          <w:szCs w:val="24"/>
          <w:vertAlign w:val="superscript"/>
        </w:rPr>
        <w:footnoteReference w:id="11"/>
      </w:r>
      <w:bookmarkEnd w:id="72"/>
      <w:r w:rsidRPr="008769D6">
        <w:rPr>
          <w:rFonts w:ascii="Times New Roman" w:hAnsi="Times New Roman"/>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bookmarkEnd w:id="71"/>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73" w:name="_Toc501021552"/>
      <w:bookmarkStart w:id="74" w:name="_Toc505264900"/>
      <w:r w:rsidRPr="008769D6">
        <w:rPr>
          <w:rFonts w:asciiTheme="majorHAnsi" w:eastAsiaTheme="majorEastAsia" w:hAnsiTheme="majorHAnsi" w:cstheme="majorBidi"/>
          <w:b/>
          <w:i/>
          <w:color w:val="2F5496" w:themeColor="accent1" w:themeShade="BF"/>
          <w:sz w:val="24"/>
          <w:szCs w:val="24"/>
        </w:rPr>
        <w:t>Aspects relatifs au rapport de gestion [le cas échéant : et aux autres informations contenues dans le rapport annuel]</w:t>
      </w:r>
      <w:bookmarkEnd w:id="73"/>
      <w:bookmarkEnd w:id="74"/>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bookmarkStart w:id="75" w:name="_Hlk506202125"/>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bookmarkEnd w:id="75"/>
    <w:p w:rsidR="00FB1CCA" w:rsidRPr="008769D6" w:rsidRDefault="00FB1CCA" w:rsidP="00FB1CCA">
      <w:pPr>
        <w:spacing w:after="0"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w:t>
      </w:r>
      <w:r w:rsidRPr="0009347E">
        <w:rPr>
          <w:rFonts w:ascii="Times New Roman" w:hAnsi="Times New Roman"/>
          <w:b/>
          <w:i/>
          <w:sz w:val="24"/>
          <w:szCs w:val="24"/>
        </w:rPr>
        <w:t>dans le rapport de gestion</w:t>
      </w:r>
      <w:r w:rsidRPr="008769D6">
        <w:rPr>
          <w:rFonts w:ascii="Times New Roman" w:hAnsi="Times New Roman"/>
          <w:i/>
          <w:sz w:val="24"/>
          <w:szCs w:val="24"/>
        </w:rPr>
        <w:t xml:space="preserve"> l’information non financière requise par l’article 96, § 4 du Code des sociétés]</w:t>
      </w:r>
      <w:r w:rsidRPr="008769D6">
        <w:rPr>
          <w:rFonts w:ascii="Times New Roman" w:hAnsi="Times New Roman"/>
          <w:i/>
          <w:sz w:val="24"/>
          <w:szCs w:val="24"/>
          <w:u w:val="single"/>
        </w:rPr>
        <w:t xml:space="preserve"> </w:t>
      </w:r>
    </w:p>
    <w:p w:rsidR="00FB1CCA" w:rsidRPr="008769D6" w:rsidRDefault="00FB1CCA" w:rsidP="00FB1CCA">
      <w:pPr>
        <w:spacing w:after="0" w:line="240" w:lineRule="auto"/>
        <w:ind w:left="709"/>
        <w:jc w:val="both"/>
        <w:rPr>
          <w:rFonts w:ascii="Times New Roman" w:hAnsi="Times New Roman"/>
          <w:b/>
          <w:sz w:val="24"/>
          <w:szCs w:val="24"/>
          <w:u w:val="single"/>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 xml:space="preserve">du Code des sociétés nous ne nous prononçons  pas sur la question de savoir si cette information non financière est établie conformément </w:t>
      </w:r>
      <w:r w:rsidRPr="00DD2095">
        <w:rPr>
          <w:rFonts w:ascii="Times New Roman" w:hAnsi="Times New Roman"/>
          <w:sz w:val="24"/>
          <w:szCs w:val="24"/>
        </w:rPr>
        <w:t>au(x) [mentionner le (les) cadre(s) de référence européen(s) ou international(aux) reconnu(s)] précité(s)</w:t>
      </w:r>
      <w:r w:rsidRPr="008769D6">
        <w:rPr>
          <w:rFonts w:ascii="Times New Roman" w:hAnsi="Times New Roman"/>
          <w:sz w:val="24"/>
          <w:szCs w:val="24"/>
        </w:rPr>
        <w:t xml:space="preserve">.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i/>
          <w:sz w:val="24"/>
          <w:szCs w:val="24"/>
        </w:rPr>
      </w:pPr>
      <w:bookmarkStart w:id="76" w:name="_Hlk503537387"/>
      <w:r w:rsidRPr="008769D6">
        <w:rPr>
          <w:rFonts w:ascii="Times New Roman" w:hAnsi="Times New Roman"/>
          <w:sz w:val="24"/>
          <w:szCs w:val="24"/>
        </w:rPr>
        <w:lastRenderedPageBreak/>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xml:space="preserve">] </w:t>
      </w:r>
      <w:r w:rsidRPr="00DD2095">
        <w:rPr>
          <w:rFonts w:ascii="Times New Roman" w:hAnsi="Times New Roman"/>
          <w:sz w:val="24"/>
          <w:szCs w:val="24"/>
        </w:rPr>
        <w:t>mentionné(s) dans le rapport</w:t>
      </w:r>
      <w:r w:rsidRPr="008769D6">
        <w:rPr>
          <w:rFonts w:ascii="Times New Roman" w:hAnsi="Times New Roman"/>
          <w:sz w:val="24"/>
          <w:szCs w:val="24"/>
        </w:rPr>
        <w:t xml:space="preserve"> de gestion. </w:t>
      </w:r>
      <w:bookmarkEnd w:id="76"/>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bookmarkStart w:id="77" w:name="_Hlk506202317"/>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769D6">
        <w:rPr>
          <w:rFonts w:ascii="Times New Roman" w:hAnsi="Times New Roman"/>
          <w:sz w:val="24"/>
          <w:szCs w:val="24"/>
          <w:vertAlign w:val="superscript"/>
        </w:rPr>
        <w:footnoteReference w:id="12"/>
      </w: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b/>
          <w:i/>
          <w:sz w:val="24"/>
          <w:szCs w:val="24"/>
          <w:u w:val="single"/>
          <w:vertAlign w:val="superscript"/>
        </w:rPr>
        <w:t xml:space="preserve"> </w:t>
      </w:r>
      <w:bookmarkStart w:id="78" w:name="_Hlk506202334"/>
      <w:r w:rsidRPr="008769D6">
        <w:rPr>
          <w:rFonts w:ascii="Times New Roman" w:hAnsi="Times New Roman"/>
          <w:b/>
          <w:i/>
          <w:sz w:val="24"/>
          <w:szCs w:val="24"/>
          <w:u w:val="single"/>
          <w:vertAlign w:val="superscript"/>
        </w:rPr>
        <w:t>[</w:t>
      </w:r>
      <w:r w:rsidRPr="008769D6">
        <w:rPr>
          <w:rFonts w:ascii="Times New Roman" w:hAnsi="Times New Roman"/>
          <w:b/>
          <w:i/>
          <w:sz w:val="24"/>
          <w:szCs w:val="24"/>
          <w:u w:val="single"/>
          <w:vertAlign w:val="superscript"/>
        </w:rPr>
        <w:footnoteReference w:id="13"/>
      </w:r>
      <w:r w:rsidRPr="008769D6">
        <w:rPr>
          <w:rFonts w:ascii="Times New Roman" w:hAnsi="Times New Roman"/>
          <w:b/>
          <w:i/>
          <w:sz w:val="24"/>
          <w:szCs w:val="24"/>
          <w:u w:val="single"/>
          <w:vertAlign w:val="superscript"/>
        </w:rPr>
        <w:t>]</w:t>
      </w:r>
      <w:bookmarkEnd w:id="78"/>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bookmarkEnd w:id="77"/>
    <w:p w:rsidR="00FB1CCA" w:rsidRPr="008769D6" w:rsidRDefault="00FB1CCA" w:rsidP="00FB1CCA">
      <w:pPr>
        <w:spacing w:after="0"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Paragraphe à utiliser lorsque la société reprend dans le rapport de gestion l’information non financière requise par l’article 96, § 4 du Code des sociétés]</w:t>
      </w:r>
      <w:r w:rsidRPr="008769D6">
        <w:rPr>
          <w:rFonts w:ascii="Times New Roman" w:hAnsi="Times New Roman"/>
          <w:i/>
          <w:sz w:val="24"/>
          <w:szCs w:val="24"/>
          <w:u w:val="single"/>
        </w:rPr>
        <w:t xml:space="preserve"> </w:t>
      </w:r>
    </w:p>
    <w:p w:rsidR="00FB1CCA" w:rsidRPr="008769D6" w:rsidRDefault="00FB1CCA" w:rsidP="00FB1CCA">
      <w:pPr>
        <w:spacing w:after="0" w:line="240" w:lineRule="auto"/>
        <w:ind w:left="709"/>
        <w:jc w:val="both"/>
        <w:rPr>
          <w:rFonts w:ascii="Times New Roman" w:hAnsi="Times New Roman"/>
          <w:b/>
          <w:sz w:val="24"/>
          <w:szCs w:val="24"/>
          <w:u w:val="single"/>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w:t>
      </w:r>
      <w:bookmarkStart w:id="80" w:name="_Hlk506977327"/>
      <w:r w:rsidRPr="008769D6">
        <w:rPr>
          <w:rFonts w:ascii="Times New Roman" w:hAnsi="Times New Roman"/>
          <w:sz w:val="24"/>
          <w:szCs w:val="24"/>
        </w:rPr>
        <w:t xml:space="preserve"> qui fait partie</w:t>
      </w:r>
      <w:bookmarkEnd w:id="80"/>
      <w:r w:rsidRPr="008769D6">
        <w:rPr>
          <w:rFonts w:ascii="Times New Roman" w:hAnsi="Times New Roman"/>
          <w:sz w:val="24"/>
          <w:szCs w:val="24"/>
        </w:rPr>
        <w:t xml:space="preserve"> de la section [numéro] du rapport annuel.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rsidR="00FB1CCA" w:rsidRPr="008769D6" w:rsidRDefault="00FB1CCA" w:rsidP="00FB1CCA">
      <w:pPr>
        <w:spacing w:after="0" w:line="240" w:lineRule="auto"/>
        <w:ind w:left="709"/>
        <w:jc w:val="both"/>
        <w:rPr>
          <w:rFonts w:ascii="Times New Roman" w:hAnsi="Times New Roman"/>
          <w:i/>
          <w:sz w:val="24"/>
          <w:szCs w:val="24"/>
        </w:rPr>
      </w:pPr>
      <w:bookmarkStart w:id="81" w:name="_Hlk503537448"/>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w:t>
      </w:r>
      <w:bookmarkEnd w:id="64"/>
      <w:bookmarkEnd w:id="81"/>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82" w:name="_Toc501021553"/>
      <w:bookmarkStart w:id="83" w:name="_Toc505264901"/>
      <w:r w:rsidRPr="008769D6">
        <w:rPr>
          <w:rFonts w:asciiTheme="majorHAnsi" w:eastAsiaTheme="majorEastAsia" w:hAnsiTheme="majorHAnsi" w:cstheme="majorBidi"/>
          <w:b/>
          <w:i/>
          <w:color w:val="2F5496" w:themeColor="accent1" w:themeShade="BF"/>
          <w:sz w:val="24"/>
          <w:szCs w:val="24"/>
        </w:rPr>
        <w:t>Mention relative au bilan social</w:t>
      </w:r>
      <w:bookmarkEnd w:id="82"/>
      <w:bookmarkEnd w:id="83"/>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ce Code et ne comprend pas d’incohérences significatives par rapport aux informations dont nous disposons dans le cadre de notre mission.</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84" w:name="_Toc501021554"/>
      <w:bookmarkStart w:id="85" w:name="_Toc505264902"/>
      <w:r w:rsidRPr="008769D6">
        <w:rPr>
          <w:rFonts w:asciiTheme="majorHAnsi" w:eastAsiaTheme="majorEastAsia" w:hAnsiTheme="majorHAnsi" w:cstheme="majorBidi"/>
          <w:b/>
          <w:i/>
          <w:color w:val="2F5496"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2F5496" w:themeColor="accent1" w:themeShade="BF"/>
          <w:sz w:val="24"/>
          <w:szCs w:val="24"/>
          <w:vertAlign w:val="superscript"/>
        </w:rPr>
        <w:t>er</w:t>
      </w:r>
      <w:r w:rsidRPr="008769D6">
        <w:rPr>
          <w:rFonts w:asciiTheme="majorHAnsi" w:eastAsiaTheme="majorEastAsia" w:hAnsiTheme="majorHAnsi" w:cstheme="majorBidi"/>
          <w:b/>
          <w:i/>
          <w:color w:val="2F5496" w:themeColor="accent1" w:themeShade="BF"/>
          <w:sz w:val="24"/>
          <w:szCs w:val="24"/>
        </w:rPr>
        <w:t>, 5° et 6°/1 du Code des sociétés] [Le cas échéant, si les données ne sont pas déjà fournies de façon distincte dans les comptes annuels]</w:t>
      </w:r>
      <w:bookmarkEnd w:id="84"/>
      <w:bookmarkEnd w:id="85"/>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rsidR="00FB1CCA" w:rsidRPr="008769D6" w:rsidRDefault="00FB1CCA" w:rsidP="00FB1CCA">
      <w:pPr>
        <w:numPr>
          <w:ilvl w:val="0"/>
          <w:numId w:val="7"/>
        </w:numPr>
        <w:spacing w:after="0" w:line="240" w:lineRule="auto"/>
        <w:ind w:left="1068"/>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lastRenderedPageBreak/>
        <w:t>b) le montant, à cette même date, des dettes exigibles, que des délais de paiement aient ou non été obtenus, envers des administrations fiscales et envers l'Office national de sécurité sociale ;</w:t>
      </w:r>
    </w:p>
    <w:p w:rsidR="00FB1CCA" w:rsidRPr="008769D6" w:rsidRDefault="00FB1CCA" w:rsidP="00FB1CCA">
      <w:pPr>
        <w:spacing w:after="0"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rsidR="00FB1CCA" w:rsidRPr="008769D6" w:rsidRDefault="00FB1CCA" w:rsidP="00FB1CCA">
      <w:pPr>
        <w:numPr>
          <w:ilvl w:val="0"/>
          <w:numId w:val="7"/>
        </w:numPr>
        <w:spacing w:after="0"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rsidR="00FB1CCA" w:rsidRPr="008769D6" w:rsidRDefault="00FB1CCA" w:rsidP="00FB1CCA">
      <w:pPr>
        <w:spacing w:after="0"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rsidR="00FB1CCA" w:rsidRPr="008769D6" w:rsidRDefault="00FB1CCA" w:rsidP="00FB1CCA">
      <w:pPr>
        <w:spacing w:after="0" w:line="240" w:lineRule="auto"/>
        <w:jc w:val="both"/>
        <w:rPr>
          <w:rFonts w:ascii="Times New Roman" w:hAnsi="Times New Roman"/>
          <w:b/>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86" w:name="_Toc501021555"/>
      <w:bookmarkStart w:id="87" w:name="_Toc505264903"/>
      <w:r w:rsidRPr="008769D6">
        <w:rPr>
          <w:rFonts w:asciiTheme="majorHAnsi" w:eastAsiaTheme="majorEastAsia" w:hAnsiTheme="majorHAnsi" w:cstheme="majorBidi"/>
          <w:b/>
          <w:i/>
          <w:color w:val="2F5496" w:themeColor="accent1" w:themeShade="BF"/>
          <w:sz w:val="24"/>
          <w:szCs w:val="24"/>
        </w:rPr>
        <w:t>Mentions relatives à l’indépendance</w:t>
      </w:r>
      <w:bookmarkEnd w:id="86"/>
      <w:bookmarkEnd w:id="87"/>
    </w:p>
    <w:p w:rsidR="00FB1CCA" w:rsidRPr="008769D6" w:rsidRDefault="00FB1CCA" w:rsidP="00FB1CCA">
      <w:pPr>
        <w:numPr>
          <w:ilvl w:val="0"/>
          <w:numId w:val="7"/>
        </w:numPr>
        <w:spacing w:after="0" w:line="240" w:lineRule="auto"/>
        <w:jc w:val="both"/>
        <w:rPr>
          <w:rFonts w:ascii="Times New Roman" w:hAnsi="Times New Roman"/>
          <w:sz w:val="24"/>
          <w:szCs w:val="24"/>
        </w:rPr>
      </w:pPr>
      <w:bookmarkStart w:id="88" w:name="_Hlk506212457"/>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14"/>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bookmarkEnd w:id="88"/>
    </w:p>
    <w:p w:rsidR="00FB1CCA" w:rsidRPr="008769D6" w:rsidRDefault="00FB1CCA" w:rsidP="00FB1CCA">
      <w:pPr>
        <w:spacing w:after="0" w:line="240" w:lineRule="auto"/>
        <w:jc w:val="both"/>
        <w:rPr>
          <w:rFonts w:ascii="Times New Roman" w:hAnsi="Times New Roman"/>
          <w:b/>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89" w:name="_Toc501021556"/>
      <w:bookmarkStart w:id="90" w:name="_Toc505264904"/>
      <w:r w:rsidRPr="008769D6">
        <w:rPr>
          <w:rFonts w:asciiTheme="majorHAnsi" w:eastAsiaTheme="majorEastAsia" w:hAnsiTheme="majorHAnsi" w:cstheme="majorBidi"/>
          <w:b/>
          <w:i/>
          <w:color w:val="2F5496" w:themeColor="accent1" w:themeShade="BF"/>
          <w:sz w:val="24"/>
          <w:szCs w:val="24"/>
        </w:rPr>
        <w:t>Autres mentions</w:t>
      </w:r>
      <w:bookmarkEnd w:id="89"/>
      <w:bookmarkEnd w:id="90"/>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numPr>
          <w:ilvl w:val="0"/>
          <w:numId w:val="7"/>
        </w:numPr>
        <w:spacing w:after="0" w:line="240" w:lineRule="auto"/>
        <w:jc w:val="both"/>
        <w:rPr>
          <w:rFonts w:ascii="Times New Roman" w:hAnsi="Times New Roman"/>
          <w:sz w:val="24"/>
          <w:szCs w:val="24"/>
        </w:rPr>
      </w:pPr>
      <w:bookmarkStart w:id="91" w:name="_Hlk506212797"/>
      <w:r w:rsidRPr="008769D6">
        <w:rPr>
          <w:rFonts w:ascii="Times New Roman" w:hAnsi="Times New Roman"/>
          <w:sz w:val="24"/>
          <w:szCs w:val="24"/>
        </w:rPr>
        <w:t>Sans préjudice d’aspects formels d’importance mineure, la comptabilité est tenue conformément aux dispositions légales et réglementaires applicables en Belgique</w:t>
      </w:r>
      <w:bookmarkEnd w:id="91"/>
      <w:r w:rsidRPr="008769D6">
        <w:rPr>
          <w:rFonts w:ascii="Times New Roman" w:hAnsi="Times New Roman"/>
          <w:sz w:val="24"/>
          <w:szCs w:val="24"/>
        </w:rPr>
        <w:t>.</w:t>
      </w:r>
    </w:p>
    <w:p w:rsidR="00FB1CCA" w:rsidRPr="008769D6" w:rsidRDefault="00FB1CCA" w:rsidP="00FB1CCA">
      <w:pPr>
        <w:numPr>
          <w:ilvl w:val="0"/>
          <w:numId w:val="7"/>
        </w:numPr>
        <w:spacing w:after="0" w:line="240" w:lineRule="auto"/>
        <w:jc w:val="both"/>
        <w:rPr>
          <w:rFonts w:ascii="Times New Roman" w:hAnsi="Times New Roman"/>
          <w:sz w:val="24"/>
          <w:szCs w:val="24"/>
        </w:rPr>
      </w:pPr>
      <w:bookmarkStart w:id="92" w:name="_Hlk506212820"/>
      <w:r w:rsidRPr="008769D6">
        <w:rPr>
          <w:rFonts w:ascii="Times New Roman" w:hAnsi="Times New Roman"/>
          <w:sz w:val="24"/>
          <w:szCs w:val="24"/>
        </w:rPr>
        <w:t>La répartition des résultats proposée à l’assemblée générale est conforme aux dispositions légales et statutaires</w:t>
      </w:r>
      <w:bookmarkEnd w:id="92"/>
      <w:r w:rsidRPr="008769D6">
        <w:rPr>
          <w:rFonts w:ascii="Times New Roman" w:hAnsi="Times New Roman"/>
          <w:sz w:val="24"/>
          <w:szCs w:val="24"/>
        </w:rPr>
        <w:t>.</w:t>
      </w:r>
    </w:p>
    <w:p w:rsidR="00FB1CCA" w:rsidRPr="008769D6" w:rsidRDefault="00FB1CCA" w:rsidP="00FB1CCA">
      <w:pPr>
        <w:numPr>
          <w:ilvl w:val="0"/>
          <w:numId w:val="7"/>
        </w:numPr>
        <w:spacing w:after="0" w:line="240" w:lineRule="auto"/>
        <w:jc w:val="both"/>
        <w:rPr>
          <w:rFonts w:ascii="Times New Roman" w:hAnsi="Times New Roman"/>
          <w:sz w:val="24"/>
          <w:szCs w:val="24"/>
        </w:rPr>
      </w:pPr>
      <w:bookmarkStart w:id="93" w:name="_Hlk506212856"/>
      <w:r w:rsidRPr="008769D6">
        <w:rPr>
          <w:rFonts w:ascii="Times New Roman" w:hAnsi="Times New Roman"/>
          <w:sz w:val="24"/>
          <w:szCs w:val="24"/>
        </w:rPr>
        <w:t>Nous n’avons pas à vous signaler d’opération conclue ou de décision prise en violation des statuts ou du Code des sociétés</w:t>
      </w:r>
      <w:bookmarkEnd w:id="93"/>
      <w:r w:rsidRPr="008769D6">
        <w:rPr>
          <w:rFonts w:ascii="Times New Roman" w:hAnsi="Times New Roman"/>
          <w:sz w:val="24"/>
          <w:szCs w:val="24"/>
        </w:rPr>
        <w:t>.</w:t>
      </w:r>
    </w:p>
    <w:p w:rsidR="00FB1CCA" w:rsidRPr="008769D6" w:rsidRDefault="00FB1CCA" w:rsidP="00FB1CCA">
      <w:pPr>
        <w:numPr>
          <w:ilvl w:val="0"/>
          <w:numId w:val="27"/>
        </w:numPr>
        <w:spacing w:after="0" w:line="240" w:lineRule="auto"/>
        <w:contextualSpacing/>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rsidR="00FB1CCA" w:rsidRPr="008769D6" w:rsidRDefault="00FB1CCA" w:rsidP="00FB1CCA">
      <w:pPr>
        <w:spacing w:after="0" w:line="240" w:lineRule="auto"/>
        <w:jc w:val="both"/>
        <w:rPr>
          <w:rFonts w:ascii="Times New Roman" w:hAnsi="Times New Roman"/>
          <w:b/>
          <w:sz w:val="24"/>
          <w:szCs w:val="24"/>
          <w:u w:val="single"/>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lastRenderedPageBreak/>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bookmarkEnd w:id="48"/>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rPr>
          <w:rFonts w:ascii="Times New Roman" w:hAnsi="Times New Roman"/>
          <w:sz w:val="28"/>
          <w:szCs w:val="28"/>
        </w:rPr>
      </w:pPr>
      <w:r w:rsidRPr="008769D6">
        <w:rPr>
          <w:rFonts w:ascii="Times New Roman" w:hAnsi="Times New Roman"/>
          <w:sz w:val="24"/>
          <w:szCs w:val="24"/>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aps/>
          <w:color w:val="2F5496" w:themeColor="accent1" w:themeShade="BF"/>
          <w:sz w:val="32"/>
          <w:szCs w:val="32"/>
        </w:rPr>
      </w:pPr>
      <w:bookmarkStart w:id="94" w:name="Annexe_3"/>
      <w:bookmarkStart w:id="95" w:name="_Toc505264905"/>
      <w:r w:rsidRPr="008769D6">
        <w:rPr>
          <w:rFonts w:asciiTheme="majorHAnsi" w:eastAsiaTheme="majorEastAsia" w:hAnsiTheme="majorHAnsi" w:cstheme="majorBidi"/>
          <w:color w:val="2F5496" w:themeColor="accent1" w:themeShade="BF"/>
          <w:sz w:val="32"/>
          <w:szCs w:val="32"/>
        </w:rPr>
        <w:lastRenderedPageBreak/>
        <w:t xml:space="preserve">ANNEXE 3 </w:t>
      </w:r>
      <w:bookmarkEnd w:id="94"/>
      <w:r w:rsidRPr="008769D6">
        <w:rPr>
          <w:rFonts w:asciiTheme="majorHAnsi" w:eastAsiaTheme="majorEastAsia" w:hAnsiTheme="majorHAnsi" w:cstheme="majorBidi"/>
          <w:color w:val="2F5496" w:themeColor="accent1" w:themeShade="BF"/>
          <w:sz w:val="32"/>
          <w:szCs w:val="32"/>
        </w:rPr>
        <w:t xml:space="preserve">– MODELE DE RAPPORT – COMPTES ANNUELS – </w:t>
      </w:r>
      <w:r w:rsidRPr="008769D6">
        <w:rPr>
          <w:rFonts w:asciiTheme="majorHAnsi" w:eastAsiaTheme="majorEastAsia" w:hAnsiTheme="majorHAnsi" w:cstheme="majorBidi"/>
          <w:caps/>
          <w:color w:val="2F5496" w:themeColor="accent1" w:themeShade="BF"/>
          <w:sz w:val="32"/>
          <w:szCs w:val="32"/>
        </w:rPr>
        <w:t>entité COTÉe autre qu’une EIP</w:t>
      </w:r>
      <w:bookmarkEnd w:id="95"/>
    </w:p>
    <w:p w:rsidR="00FB1CCA" w:rsidRPr="008769D6" w:rsidRDefault="00FB1CCA" w:rsidP="00FB1CCA"/>
    <w:p w:rsidR="00FB1CCA" w:rsidRPr="008769D6" w:rsidRDefault="00FB1CCA" w:rsidP="00FB1CCA">
      <w:pPr>
        <w:spacing w:after="0" w:line="240" w:lineRule="auto"/>
        <w:jc w:val="center"/>
        <w:rPr>
          <w:rFonts w:ascii="Times New Roman" w:hAnsi="Times New Roman"/>
          <w:b/>
          <w:sz w:val="24"/>
          <w:szCs w:val="24"/>
        </w:rPr>
      </w:pPr>
      <w:bookmarkStart w:id="96" w:name="_Hlk506218776"/>
      <w:r w:rsidRPr="008769D6">
        <w:rPr>
          <w:rFonts w:ascii="Times New Roman" w:hAnsi="Times New Roman"/>
          <w:b/>
          <w:sz w:val="24"/>
          <w:szCs w:val="24"/>
        </w:rPr>
        <w:t>RAPPORT DU COMMISSAIRE A L’ASSEMBLEE GENERALE DE [LA SOCIETE_____________]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ANNUELS)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8769D6">
        <w:rPr>
          <w:rFonts w:ascii="Times New Roman" w:hAnsi="Times New Roman"/>
          <w:sz w:val="24"/>
          <w:szCs w:val="24"/>
          <w:vertAlign w:val="superscript"/>
        </w:rPr>
        <w:footnoteReference w:id="15"/>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97" w:name="_Toc501021558"/>
      <w:bookmarkStart w:id="98" w:name="_Toc505264906"/>
      <w:r w:rsidRPr="008769D6">
        <w:rPr>
          <w:rFonts w:asciiTheme="majorHAnsi" w:eastAsiaTheme="majorEastAsia" w:hAnsiTheme="majorHAnsi" w:cstheme="majorBidi"/>
          <w:b/>
          <w:bCs/>
          <w:color w:val="2F5496" w:themeColor="accent1" w:themeShade="BF"/>
          <w:sz w:val="26"/>
          <w:szCs w:val="26"/>
          <w:lang w:eastAsia="en-GB"/>
        </w:rPr>
        <w:t>Rapport sur les comptes annuels</w:t>
      </w:r>
      <w:bookmarkEnd w:id="97"/>
      <w:bookmarkEnd w:id="98"/>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99" w:name="_Toc501021559"/>
      <w:bookmarkStart w:id="100" w:name="_Toc505264907"/>
      <w:r w:rsidRPr="008769D6">
        <w:rPr>
          <w:rFonts w:asciiTheme="majorHAnsi" w:eastAsiaTheme="majorEastAsia" w:hAnsiTheme="majorHAnsi" w:cstheme="majorBidi"/>
          <w:b/>
          <w:i/>
          <w:color w:val="2F5496" w:themeColor="accent1" w:themeShade="BF"/>
          <w:sz w:val="24"/>
          <w:szCs w:val="24"/>
        </w:rPr>
        <w:t>Opinion sans réserve</w:t>
      </w:r>
      <w:bookmarkEnd w:id="99"/>
      <w:bookmarkEnd w:id="100"/>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101" w:name="_Toc501021560"/>
      <w:bookmarkStart w:id="102" w:name="_Toc505264908"/>
      <w:r w:rsidRPr="008769D6">
        <w:rPr>
          <w:rFonts w:asciiTheme="majorHAnsi" w:eastAsiaTheme="majorEastAsia" w:hAnsiTheme="majorHAnsi" w:cstheme="majorBidi"/>
          <w:b/>
          <w:i/>
          <w:color w:val="2F5496" w:themeColor="accent1" w:themeShade="BF"/>
          <w:sz w:val="24"/>
          <w:szCs w:val="24"/>
          <w:lang w:bidi="he-IL"/>
        </w:rPr>
        <w:t>Fondement de l’opinion sans réserve</w:t>
      </w:r>
      <w:bookmarkEnd w:id="101"/>
      <w:bookmarkEnd w:id="102"/>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16"/>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lastRenderedPageBreak/>
        <w:t>Nous avons obtenu de l’organe de gestion et des préposés de la société,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03" w:name="_Toc501021561"/>
      <w:bookmarkStart w:id="104" w:name="_Toc505264909"/>
      <w:r w:rsidRPr="008769D6">
        <w:rPr>
          <w:rFonts w:asciiTheme="majorHAnsi" w:eastAsiaTheme="majorEastAsia" w:hAnsiTheme="majorHAnsi" w:cstheme="majorBidi"/>
          <w:b/>
          <w:i/>
          <w:color w:val="2F5496" w:themeColor="accent1" w:themeShade="BF"/>
          <w:sz w:val="24"/>
          <w:szCs w:val="24"/>
        </w:rPr>
        <w:t>Points clés de l’audit</w:t>
      </w:r>
      <w:bookmarkEnd w:id="103"/>
      <w:bookmarkEnd w:id="104"/>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rsidR="00FB1CCA" w:rsidRPr="008769D6" w:rsidRDefault="00FB1CCA" w:rsidP="00FB1CCA">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rsidR="00FB1CCA" w:rsidRPr="008769D6" w:rsidRDefault="00FB1CCA" w:rsidP="00FB1CCA">
      <w:pPr>
        <w:spacing w:after="0" w:line="240" w:lineRule="auto"/>
        <w:jc w:val="both"/>
        <w:rPr>
          <w:rFonts w:ascii="Times New Roman" w:hAnsi="Times New Roman"/>
          <w:i/>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05" w:name="_Toc501021562"/>
      <w:bookmarkStart w:id="106" w:name="_Toc505264910"/>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annuels</w:t>
      </w:r>
      <w:bookmarkEnd w:id="105"/>
      <w:bookmarkEnd w:id="106"/>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07" w:name="_Toc501021563"/>
      <w:bookmarkStart w:id="108" w:name="_Toc505264911"/>
      <w:r w:rsidRPr="008769D6">
        <w:rPr>
          <w:rFonts w:asciiTheme="majorHAnsi" w:eastAsiaTheme="majorEastAsia" w:hAnsiTheme="majorHAnsi" w:cstheme="majorBidi"/>
          <w:b/>
          <w:i/>
          <w:color w:val="2F5496" w:themeColor="accent1" w:themeShade="BF"/>
          <w:sz w:val="24"/>
          <w:szCs w:val="24"/>
        </w:rPr>
        <w:t>Responsabilités du commissaire relatives à l’audit des comptes annuels</w:t>
      </w:r>
      <w:bookmarkEnd w:id="107"/>
      <w:bookmarkEnd w:id="108"/>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w:t>
      </w:r>
      <w:r w:rsidRPr="008769D6">
        <w:rPr>
          <w:rFonts w:ascii="Times New Roman" w:hAnsi="Times New Roman"/>
          <w:sz w:val="24"/>
          <w:szCs w:val="24"/>
        </w:rPr>
        <w:lastRenderedPageBreak/>
        <w:t>élevé que celui d’une anomalie significative résultant d’une erreur, car la fraude peut impliquer la collusion, la falsification, les omissions volontaires, les fausses déclarations ou le contournement du contrôle interne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09" w:name="_Toc501021564"/>
      <w:bookmarkStart w:id="110" w:name="_Toc505264912"/>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109"/>
      <w:bookmarkEnd w:id="110"/>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11" w:name="_Toc501021565"/>
      <w:bookmarkStart w:id="112" w:name="_Toc505264913"/>
      <w:r w:rsidRPr="008769D6">
        <w:rPr>
          <w:rFonts w:asciiTheme="majorHAnsi" w:eastAsiaTheme="majorEastAsia" w:hAnsiTheme="majorHAnsi" w:cstheme="majorBidi"/>
          <w:b/>
          <w:i/>
          <w:color w:val="2F5496" w:themeColor="accent1" w:themeShade="BF"/>
          <w:sz w:val="24"/>
          <w:szCs w:val="24"/>
        </w:rPr>
        <w:t>Responsabilités de l’organe de gestion</w:t>
      </w:r>
      <w:bookmarkEnd w:id="111"/>
      <w:bookmarkEnd w:id="112"/>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L’organe de gestion est responsable de la préparation et du contenu du rapport de gestion [et des autres informations  contenues dans le rapport annuel], [des documents à déposer conformément aux dispositions légales et réglementaires,] du respect des dispositions légales </w:t>
      </w:r>
      <w:r w:rsidRPr="008769D6">
        <w:rPr>
          <w:rFonts w:ascii="Times New Roman" w:hAnsi="Times New Roman"/>
          <w:sz w:val="24"/>
          <w:szCs w:val="24"/>
        </w:rPr>
        <w:lastRenderedPageBreak/>
        <w:t>et réglementaires applicables à la tenue de la comptabilité ainsi que du respect du Code des sociétés et des statuts de la société.</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13" w:name="_Toc501021566"/>
      <w:bookmarkStart w:id="114" w:name="_Toc505264914"/>
      <w:r w:rsidRPr="008769D6">
        <w:rPr>
          <w:rFonts w:asciiTheme="majorHAnsi" w:eastAsiaTheme="majorEastAsia" w:hAnsiTheme="majorHAnsi" w:cstheme="majorBidi"/>
          <w:b/>
          <w:i/>
          <w:color w:val="2F5496" w:themeColor="accent1" w:themeShade="BF"/>
          <w:sz w:val="24"/>
          <w:szCs w:val="24"/>
        </w:rPr>
        <w:t>Responsabilités du commissaire</w:t>
      </w:r>
      <w:bookmarkEnd w:id="113"/>
      <w:bookmarkEnd w:id="114"/>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115" w:name="_Toc501021567"/>
      <w:bookmarkStart w:id="116" w:name="_Toc505264915"/>
      <w:r w:rsidRPr="008769D6">
        <w:rPr>
          <w:rFonts w:asciiTheme="majorHAnsi" w:eastAsiaTheme="majorEastAsia" w:hAnsiTheme="majorHAnsi" w:cstheme="majorBidi"/>
          <w:b/>
          <w:i/>
          <w:color w:val="2F5496" w:themeColor="accent1" w:themeShade="BF"/>
          <w:sz w:val="24"/>
          <w:szCs w:val="24"/>
        </w:rPr>
        <w:t>Aspects relatifs au rapport de gestion [le cas échéant : et aux autres informations contenues dans le rapport annuel]</w:t>
      </w:r>
      <w:bookmarkEnd w:id="115"/>
      <w:bookmarkEnd w:id="116"/>
      <w:r w:rsidRPr="008769D6">
        <w:rPr>
          <w:rFonts w:asciiTheme="majorHAnsi" w:eastAsiaTheme="majorEastAsia" w:hAnsiTheme="majorHAnsi" w:cstheme="majorBidi"/>
          <w:b/>
          <w:i/>
          <w:color w:val="2F5496" w:themeColor="accent1" w:themeShade="BF"/>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769D6">
        <w:rPr>
          <w:rFonts w:ascii="Times New Roman" w:hAnsi="Times New Roman"/>
          <w:sz w:val="24"/>
          <w:szCs w:val="24"/>
          <w:vertAlign w:val="superscript"/>
        </w:rPr>
        <w:footnoteReference w:id="17"/>
      </w:r>
      <w:r w:rsidRPr="008769D6">
        <w:rPr>
          <w:rFonts w:ascii="Times New Roman" w:hAnsi="Times New Roman"/>
          <w:sz w:val="24"/>
          <w:szCs w:val="24"/>
        </w:rPr>
        <w:t> :</w:t>
      </w:r>
    </w:p>
    <w:p w:rsidR="00FB1CCA" w:rsidRPr="008769D6" w:rsidRDefault="00FB1CCA" w:rsidP="00FB1CCA">
      <w:p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[à compléter]</w:t>
      </w:r>
      <w:r w:rsidRPr="008769D6">
        <w:rPr>
          <w:rFonts w:ascii="Times New Roman" w:hAnsi="Times New Roman"/>
          <w:b/>
          <w:i/>
          <w:sz w:val="24"/>
          <w:szCs w:val="24"/>
          <w:u w:val="single"/>
          <w:vertAlign w:val="superscript"/>
        </w:rPr>
        <w:t xml:space="preserve"> [</w:t>
      </w:r>
      <w:r w:rsidRPr="008769D6">
        <w:rPr>
          <w:rFonts w:ascii="Times New Roman" w:hAnsi="Times New Roman"/>
          <w:b/>
          <w:i/>
          <w:sz w:val="24"/>
          <w:szCs w:val="24"/>
          <w:u w:val="single"/>
          <w:vertAlign w:val="superscript"/>
        </w:rPr>
        <w:footnoteReference w:id="18"/>
      </w:r>
      <w:r w:rsidRPr="008769D6">
        <w:rPr>
          <w:rFonts w:ascii="Times New Roman" w:hAnsi="Times New Roman"/>
          <w:b/>
          <w:i/>
          <w:sz w:val="24"/>
          <w:szCs w:val="24"/>
          <w:u w:val="single"/>
          <w:vertAlign w:val="superscript"/>
        </w:rPr>
        <w:t>]</w:t>
      </w:r>
    </w:p>
    <w:p w:rsidR="00FB1CCA" w:rsidRPr="008769D6" w:rsidRDefault="00FB1CCA" w:rsidP="00FB1CCA">
      <w:p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lastRenderedPageBreak/>
        <w:t xml:space="preserve">comportent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17" w:name="_Toc501021568"/>
      <w:bookmarkStart w:id="118" w:name="_Toc505264916"/>
      <w:r w:rsidRPr="008769D6">
        <w:rPr>
          <w:rFonts w:asciiTheme="majorHAnsi" w:eastAsiaTheme="majorEastAsia" w:hAnsiTheme="majorHAnsi" w:cstheme="majorBidi"/>
          <w:b/>
          <w:i/>
          <w:color w:val="2F5496" w:themeColor="accent1" w:themeShade="BF"/>
          <w:sz w:val="24"/>
          <w:szCs w:val="24"/>
        </w:rPr>
        <w:t>Mention relative au bilan social</w:t>
      </w:r>
      <w:bookmarkEnd w:id="117"/>
      <w:bookmarkEnd w:id="118"/>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la loi et ne comprend pas d’incohérences significatives par rapport aux informations dont nous disposons dans le cadre de notre mission.</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119" w:name="_Toc501021569"/>
      <w:bookmarkStart w:id="120" w:name="_Toc505264917"/>
      <w:r w:rsidRPr="008769D6">
        <w:rPr>
          <w:rFonts w:asciiTheme="majorHAnsi" w:eastAsiaTheme="majorEastAsia" w:hAnsiTheme="majorHAnsi" w:cstheme="majorBidi"/>
          <w:b/>
          <w:i/>
          <w:color w:val="2F5496"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2F5496" w:themeColor="accent1" w:themeShade="BF"/>
          <w:sz w:val="24"/>
          <w:szCs w:val="24"/>
          <w:vertAlign w:val="superscript"/>
        </w:rPr>
        <w:t>er</w:t>
      </w:r>
      <w:r w:rsidRPr="008769D6">
        <w:rPr>
          <w:rFonts w:asciiTheme="majorHAnsi" w:eastAsiaTheme="majorEastAsia" w:hAnsiTheme="majorHAnsi" w:cstheme="majorBidi"/>
          <w:b/>
          <w:i/>
          <w:color w:val="2F5496" w:themeColor="accent1" w:themeShade="BF"/>
          <w:sz w:val="24"/>
          <w:szCs w:val="24"/>
        </w:rPr>
        <w:t>, 5° et 6°/1 du Code des sociétés] [Le cas échéant, si les données ne sont pas déjà fournies de façon distincte dans les comptes annuels]</w:t>
      </w:r>
      <w:bookmarkEnd w:id="119"/>
      <w:bookmarkEnd w:id="120"/>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rsidR="00FB1CCA" w:rsidRPr="008769D6" w:rsidRDefault="00FB1CCA" w:rsidP="00FB1CCA">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a) </w:t>
      </w:r>
      <w:r w:rsidRPr="008769D6">
        <w:rPr>
          <w:rFonts w:ascii="Times New Roman" w:hAnsi="Times New Roman"/>
          <w:sz w:val="24"/>
          <w:szCs w:val="24"/>
        </w:rPr>
        <w:tab/>
        <w:t>le montant, à la date de clôture de ceux-ci, des dettes ou de la partie des dettes garanties par les pouvoirs publics belges ;</w:t>
      </w:r>
    </w:p>
    <w:p w:rsidR="00FB1CCA" w:rsidRPr="008769D6" w:rsidRDefault="00FB1CCA" w:rsidP="00FB1CCA">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b) </w:t>
      </w:r>
      <w:r w:rsidRPr="008769D6">
        <w:rPr>
          <w:rFonts w:ascii="Times New Roman" w:hAnsi="Times New Roman"/>
          <w:sz w:val="24"/>
          <w:szCs w:val="24"/>
        </w:rPr>
        <w:tab/>
        <w:t>le montant, à cette même date, des dettes exigibles, que des délais de paiement aient ou non été obtenus, envers des administrations fiscales et envers l'Office national de sécurité sociale ;</w:t>
      </w:r>
    </w:p>
    <w:p w:rsidR="00FB1CCA" w:rsidRPr="008769D6" w:rsidRDefault="00FB1CCA" w:rsidP="00FB1CCA">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c) </w:t>
      </w:r>
      <w:r w:rsidRPr="008769D6">
        <w:rPr>
          <w:rFonts w:ascii="Times New Roman" w:hAnsi="Times New Roman"/>
          <w:sz w:val="24"/>
          <w:szCs w:val="24"/>
        </w:rPr>
        <w:tab/>
        <w:t>le montant afférent à l'exercice clôturé, des subsides en capitaux ou en intérêts payés ou alloués par des pouvoirs ou institutions publics ;</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rsidR="00FB1CCA" w:rsidRPr="008769D6" w:rsidRDefault="00FB1CCA" w:rsidP="00FB1CCA">
      <w:pPr>
        <w:spacing w:after="0" w:line="240" w:lineRule="auto"/>
        <w:ind w:left="851"/>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rsidR="00FB1CCA" w:rsidRPr="008769D6" w:rsidRDefault="00FB1CCA" w:rsidP="00FB1CCA">
      <w:pPr>
        <w:keepNext/>
        <w:keepLines/>
        <w:spacing w:before="200" w:after="0" w:line="360" w:lineRule="auto"/>
        <w:outlineLvl w:val="2"/>
        <w:rPr>
          <w:rFonts w:asciiTheme="majorHAnsi" w:eastAsiaTheme="majorEastAsia" w:hAnsiTheme="majorHAnsi" w:cstheme="majorBidi"/>
          <w:b/>
          <w:i/>
          <w:color w:val="2F5496" w:themeColor="accent1" w:themeShade="BF"/>
          <w:sz w:val="24"/>
          <w:szCs w:val="24"/>
        </w:rPr>
      </w:pPr>
      <w:bookmarkStart w:id="121" w:name="_Toc501021570"/>
      <w:bookmarkStart w:id="122" w:name="_Toc505264918"/>
      <w:r w:rsidRPr="008769D6">
        <w:rPr>
          <w:rFonts w:asciiTheme="majorHAnsi" w:eastAsiaTheme="majorEastAsia" w:hAnsiTheme="majorHAnsi" w:cstheme="majorBidi"/>
          <w:b/>
          <w:i/>
          <w:color w:val="2F5496" w:themeColor="accent1" w:themeShade="BF"/>
          <w:sz w:val="24"/>
          <w:szCs w:val="24"/>
        </w:rPr>
        <w:t>Mentions relatives à l’indépendance</w:t>
      </w:r>
      <w:bookmarkEnd w:id="121"/>
      <w:bookmarkEnd w:id="122"/>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19"/>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i/>
          <w:sz w:val="24"/>
          <w:szCs w:val="24"/>
        </w:rPr>
        <w:t>[ 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numPr>
          <w:ilvl w:val="0"/>
          <w:numId w:val="7"/>
        </w:numPr>
        <w:spacing w:after="0"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lastRenderedPageBreak/>
        <w:t>OU</w:t>
      </w:r>
    </w:p>
    <w:p w:rsidR="00FB1CCA" w:rsidRPr="008769D6" w:rsidRDefault="00FB1CCA" w:rsidP="00FB1CCA">
      <w:pPr>
        <w:numPr>
          <w:ilvl w:val="0"/>
          <w:numId w:val="7"/>
        </w:numPr>
        <w:spacing w:after="0"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rsidR="00FB1CCA" w:rsidRPr="008769D6" w:rsidRDefault="00FB1CCA" w:rsidP="00FB1CCA">
      <w:pPr>
        <w:spacing w:after="0" w:line="240" w:lineRule="auto"/>
        <w:jc w:val="both"/>
        <w:rPr>
          <w:rFonts w:ascii="Times New Roman" w:hAnsi="Times New Roman"/>
          <w:b/>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23" w:name="_Toc501021571"/>
      <w:bookmarkStart w:id="124" w:name="_Toc505264919"/>
      <w:r w:rsidRPr="008769D6">
        <w:rPr>
          <w:rFonts w:asciiTheme="majorHAnsi" w:eastAsiaTheme="majorEastAsia" w:hAnsiTheme="majorHAnsi" w:cstheme="majorBidi"/>
          <w:b/>
          <w:i/>
          <w:color w:val="2F5496" w:themeColor="accent1" w:themeShade="BF"/>
          <w:sz w:val="24"/>
          <w:szCs w:val="24"/>
        </w:rPr>
        <w:t>Autres mentions</w:t>
      </w:r>
      <w:bookmarkEnd w:id="123"/>
      <w:bookmarkEnd w:id="124"/>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sidDel="00C36F83">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rsidR="00FB1CCA" w:rsidRPr="008769D6" w:rsidRDefault="00FB1CCA" w:rsidP="00FB1CCA">
      <w:pPr>
        <w:numPr>
          <w:ilvl w:val="0"/>
          <w:numId w:val="7"/>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rsidR="00FB1CCA" w:rsidRPr="008769D6" w:rsidRDefault="00FB1CCA" w:rsidP="00FB1CCA">
      <w:pPr>
        <w:spacing w:after="0" w:line="240" w:lineRule="auto"/>
        <w:ind w:left="720"/>
        <w:jc w:val="both"/>
        <w:rPr>
          <w:rFonts w:ascii="Times New Roman" w:hAnsi="Times New Roman"/>
          <w:sz w:val="24"/>
          <w:szCs w:val="24"/>
        </w:rPr>
      </w:pPr>
    </w:p>
    <w:p w:rsidR="00FB1CCA" w:rsidRPr="008769D6" w:rsidRDefault="00FB1CCA" w:rsidP="00FB1CCA">
      <w:pPr>
        <w:spacing w:after="0" w:line="240" w:lineRule="auto"/>
        <w:ind w:left="720"/>
        <w:jc w:val="both"/>
        <w:rPr>
          <w:rFonts w:ascii="Times New Roman" w:hAnsi="Times New Roman"/>
          <w:sz w:val="24"/>
          <w:szCs w:val="24"/>
        </w:rPr>
      </w:pPr>
    </w:p>
    <w:p w:rsidR="00FB1CCA" w:rsidRPr="008769D6" w:rsidRDefault="00FB1CCA" w:rsidP="00FB1CCA">
      <w:pPr>
        <w:spacing w:after="0" w:line="240" w:lineRule="auto"/>
        <w:ind w:left="720"/>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bookmarkEnd w:id="96"/>
      <w:r w:rsidRPr="008769D6">
        <w:rPr>
          <w:rFonts w:ascii="Times New Roman" w:hAnsi="Times New Roman"/>
          <w:sz w:val="24"/>
          <w:szCs w:val="24"/>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aps/>
          <w:color w:val="2F5496" w:themeColor="accent1" w:themeShade="BF"/>
          <w:sz w:val="32"/>
          <w:szCs w:val="32"/>
        </w:rPr>
      </w:pPr>
      <w:bookmarkStart w:id="125" w:name="Annexe_4"/>
      <w:bookmarkStart w:id="126" w:name="_Toc505264920"/>
      <w:r w:rsidRPr="008769D6">
        <w:rPr>
          <w:rFonts w:asciiTheme="majorHAnsi" w:eastAsiaTheme="majorEastAsia" w:hAnsiTheme="majorHAnsi" w:cstheme="majorBidi"/>
          <w:color w:val="2F5496" w:themeColor="accent1" w:themeShade="BF"/>
          <w:sz w:val="32"/>
          <w:szCs w:val="32"/>
        </w:rPr>
        <w:lastRenderedPageBreak/>
        <w:t xml:space="preserve">ANNEXE 4 </w:t>
      </w:r>
      <w:bookmarkEnd w:id="125"/>
      <w:r w:rsidRPr="008769D6">
        <w:rPr>
          <w:rFonts w:asciiTheme="majorHAnsi" w:eastAsiaTheme="majorEastAsia" w:hAnsiTheme="majorHAnsi" w:cstheme="majorBidi"/>
          <w:color w:val="2F5496" w:themeColor="accent1" w:themeShade="BF"/>
          <w:sz w:val="32"/>
          <w:szCs w:val="32"/>
        </w:rPr>
        <w:t>– MODELE DE RAPPORT – COMPTES ANNUELS –</w:t>
      </w:r>
      <w:r w:rsidRPr="008769D6">
        <w:rPr>
          <w:rFonts w:asciiTheme="majorHAnsi" w:eastAsiaTheme="majorEastAsia" w:hAnsiTheme="majorHAnsi" w:cstheme="majorBidi"/>
          <w:caps/>
          <w:color w:val="2F5496" w:themeColor="accent1" w:themeShade="BF"/>
          <w:sz w:val="32"/>
          <w:szCs w:val="32"/>
        </w:rPr>
        <w:t>asbl, aisbl ou fondation</w:t>
      </w:r>
      <w:bookmarkEnd w:id="126"/>
    </w:p>
    <w:p w:rsidR="00FB1CCA" w:rsidRPr="008769D6" w:rsidRDefault="00FB1CCA" w:rsidP="00FB1CCA"/>
    <w:p w:rsidR="00FB1CCA" w:rsidRPr="008769D6" w:rsidRDefault="00FB1CCA" w:rsidP="00FB1CCA">
      <w:pPr>
        <w:spacing w:after="0" w:line="240" w:lineRule="auto"/>
        <w:jc w:val="center"/>
        <w:rPr>
          <w:rFonts w:ascii="Times New Roman" w:hAnsi="Times New Roman"/>
          <w:b/>
          <w:sz w:val="24"/>
          <w:szCs w:val="24"/>
        </w:rPr>
      </w:pPr>
      <w:bookmarkStart w:id="127" w:name="_Hlk506218885"/>
      <w:r w:rsidRPr="008769D6">
        <w:rPr>
          <w:rFonts w:ascii="Times New Roman" w:hAnsi="Times New Roman"/>
          <w:b/>
          <w:sz w:val="24"/>
          <w:szCs w:val="24"/>
        </w:rPr>
        <w:t>RAPPORT DU COMMISSAIRE A L’ASSEMBLEE GENERALE DES MEMBRES DE [L’ASSOCIATION_____________]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ANNUELS)</w:t>
      </w:r>
    </w:p>
    <w:p w:rsidR="00FB1CCA" w:rsidRPr="008769D6" w:rsidRDefault="00FB1CCA" w:rsidP="00FB1CCA">
      <w:pPr>
        <w:spacing w:after="0" w:line="240" w:lineRule="auto"/>
        <w:jc w:val="center"/>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annuels de [l’association ___] (l’ « association »), nous vous présentons notre rapport du commissaire. Celui-ci inclut notre rapport sur les comptes annuels ainsi que les autres obligations légales et réglementaires. Le tout constitue un ensemble et est inséparable.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des membres du [xx], conformément à la proposition de l’organe de gestion [émise sur présentation du conseil d’entreprise</w:t>
      </w:r>
      <w:r w:rsidRPr="008769D6">
        <w:rPr>
          <w:rFonts w:ascii="Times New Roman" w:hAnsi="Times New Roman"/>
          <w:sz w:val="24"/>
          <w:vertAlign w:val="superscript"/>
        </w:rPr>
        <w:footnoteReference w:id="20"/>
      </w:r>
      <w:r w:rsidRPr="008769D6">
        <w:rPr>
          <w:rFonts w:ascii="Times New Roman" w:hAnsi="Times New Roman"/>
          <w:sz w:val="24"/>
          <w:szCs w:val="24"/>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Pr="008769D6">
        <w:rPr>
          <w:rFonts w:ascii="Times New Roman" w:hAnsi="Times New Roman"/>
          <w:sz w:val="24"/>
          <w:szCs w:val="24"/>
          <w:vertAlign w:val="superscript"/>
        </w:rPr>
        <w:footnoteReference w:id="21"/>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28" w:name="_Toc501021573"/>
      <w:bookmarkStart w:id="129" w:name="_Toc505264921"/>
      <w:r w:rsidRPr="008769D6">
        <w:rPr>
          <w:rFonts w:asciiTheme="majorHAnsi" w:eastAsiaTheme="majorEastAsia" w:hAnsiTheme="majorHAnsi" w:cstheme="majorBidi"/>
          <w:b/>
          <w:bCs/>
          <w:color w:val="2F5496" w:themeColor="accent1" w:themeShade="BF"/>
          <w:sz w:val="26"/>
          <w:szCs w:val="26"/>
          <w:lang w:eastAsia="en-GB"/>
        </w:rPr>
        <w:t>Rapport sur les comptes annuels</w:t>
      </w:r>
      <w:bookmarkEnd w:id="128"/>
      <w:bookmarkEnd w:id="129"/>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30" w:name="_Toc501021574"/>
      <w:bookmarkStart w:id="131" w:name="_Toc505264922"/>
      <w:r w:rsidRPr="008769D6">
        <w:rPr>
          <w:rFonts w:asciiTheme="majorHAnsi" w:eastAsiaTheme="majorEastAsia" w:hAnsiTheme="majorHAnsi" w:cstheme="majorBidi"/>
          <w:b/>
          <w:i/>
          <w:color w:val="2F5496" w:themeColor="accent1" w:themeShade="BF"/>
          <w:sz w:val="24"/>
          <w:szCs w:val="24"/>
        </w:rPr>
        <w:t>Opinion sans réserve</w:t>
      </w:r>
      <w:bookmarkEnd w:id="130"/>
      <w:bookmarkEnd w:id="131"/>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l’association,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résultat positif [négatif]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l’association au __ ____ 20__, ainsi que de ses résultats pour l’exercice clos à cette date, conformément au référentiel comptable applicable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132" w:name="_Toc501021575"/>
      <w:bookmarkStart w:id="133" w:name="_Toc505264923"/>
      <w:r w:rsidRPr="008769D6">
        <w:rPr>
          <w:rFonts w:asciiTheme="majorHAnsi" w:eastAsiaTheme="majorEastAsia" w:hAnsiTheme="majorHAnsi" w:cstheme="majorBidi"/>
          <w:b/>
          <w:i/>
          <w:color w:val="2F5496" w:themeColor="accent1" w:themeShade="BF"/>
          <w:sz w:val="24"/>
          <w:szCs w:val="24"/>
          <w:lang w:bidi="he-IL"/>
        </w:rPr>
        <w:t>Fondement de l’opinion sans réserve</w:t>
      </w:r>
      <w:bookmarkEnd w:id="132"/>
      <w:bookmarkEnd w:id="133"/>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22"/>
      </w:r>
      <w:r w:rsidRPr="008769D6">
        <w:rPr>
          <w:rFonts w:ascii="Times New Roman" w:hAnsi="Times New Roman"/>
          <w:sz w:val="24"/>
          <w:szCs w:val="24"/>
        </w:rPr>
        <w:t xml:space="preserve">. Les responsabilités qui nous incombent en vertu de ces normes sont plus amplement décrites dans la section « Responsabilités du commissaire relatives à l’audit des comptes annuels » du présent rapport. Nous nous sommes conformés à toutes les </w:t>
      </w:r>
      <w:r w:rsidRPr="008769D6">
        <w:rPr>
          <w:rFonts w:ascii="Times New Roman" w:hAnsi="Times New Roman"/>
          <w:sz w:val="24"/>
          <w:szCs w:val="24"/>
        </w:rPr>
        <w:lastRenderedPageBreak/>
        <w:t>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l’association,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34" w:name="_Toc501021576"/>
      <w:bookmarkStart w:id="135" w:name="_Toc505264924"/>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annuels</w:t>
      </w:r>
      <w:bookmarkEnd w:id="134"/>
      <w:bookmarkEnd w:id="135"/>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36" w:name="_Toc501021577"/>
      <w:bookmarkStart w:id="137" w:name="_Toc505264925"/>
      <w:r w:rsidRPr="008769D6">
        <w:rPr>
          <w:rFonts w:asciiTheme="majorHAnsi" w:eastAsiaTheme="majorEastAsia" w:hAnsiTheme="majorHAnsi" w:cstheme="majorBidi"/>
          <w:b/>
          <w:i/>
          <w:color w:val="2F5496" w:themeColor="accent1" w:themeShade="BF"/>
          <w:sz w:val="24"/>
          <w:szCs w:val="24"/>
        </w:rPr>
        <w:t>Responsabilités du commissaire relatives à l’audit des comptes annuels</w:t>
      </w:r>
      <w:bookmarkEnd w:id="136"/>
      <w:bookmarkEnd w:id="137"/>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8769D6" w:rsidDel="00946EF1">
        <w:rPr>
          <w:rFonts w:ascii="Times New Roman" w:hAnsi="Times New Roman"/>
          <w:sz w:val="24"/>
          <w:szCs w:val="24"/>
        </w:rPr>
        <w:t xml:space="preserve"> </w:t>
      </w:r>
      <w:r w:rsidRPr="008769D6">
        <w:rPr>
          <w:rFonts w:ascii="Times New Roman" w:hAnsi="Times New Roman"/>
          <w:sz w:val="24"/>
          <w:szCs w:val="24"/>
        </w:rPr>
        <w:t>prises individuellement ou en cumulé, influencer les décisions économiques que les utilisateurs des comptes annuels prennent en se fondant sur ceux-ci.</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lastRenderedPageBreak/>
        <w:t>nous prenons connaissance du contrôle interne pertinent pour l’audit afin de définir des procédures d’audit appropriées en la circonstance, mais non dans le but d’exprimer une opinion sur l’efficacité du contrôle interne de l’association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38" w:name="_Toc501021578"/>
      <w:bookmarkStart w:id="139" w:name="_Toc505264926"/>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138"/>
      <w:bookmarkEnd w:id="139"/>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40" w:name="_Toc501021579"/>
      <w:bookmarkStart w:id="141" w:name="_Toc505264927"/>
      <w:r w:rsidRPr="008769D6">
        <w:rPr>
          <w:rFonts w:asciiTheme="majorHAnsi" w:eastAsiaTheme="majorEastAsia" w:hAnsiTheme="majorHAnsi" w:cstheme="majorBidi"/>
          <w:b/>
          <w:i/>
          <w:color w:val="2F5496" w:themeColor="accent1" w:themeShade="BF"/>
          <w:sz w:val="24"/>
          <w:szCs w:val="24"/>
        </w:rPr>
        <w:t>Responsabilités de l’organe de gestion</w:t>
      </w:r>
      <w:bookmarkEnd w:id="140"/>
      <w:bookmarkEnd w:id="141"/>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w:t>
      </w:r>
      <w:r w:rsidRPr="008769D6">
        <w:rPr>
          <w:rFonts w:ascii="Times New Roman" w:eastAsiaTheme="minorHAnsi" w:hAnsi="Times New Roman"/>
          <w:sz w:val="24"/>
          <w:szCs w:val="24"/>
        </w:rPr>
        <w:t xml:space="preserve"> statuts de l’association</w:t>
      </w:r>
      <w:r w:rsidRPr="008769D6">
        <w:rPr>
          <w:rFonts w:ascii="Times New Roman" w:eastAsiaTheme="minorHAnsi" w:hAnsi="Times New Roman"/>
          <w:color w:val="000000"/>
          <w:sz w:val="24"/>
          <w:szCs w:val="24"/>
        </w:rPr>
        <w: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42" w:name="_Toc501021580"/>
      <w:bookmarkStart w:id="143" w:name="_Toc505264928"/>
      <w:r w:rsidRPr="008769D6">
        <w:rPr>
          <w:rFonts w:asciiTheme="majorHAnsi" w:eastAsiaTheme="majorEastAsia" w:hAnsiTheme="majorHAnsi" w:cstheme="majorBidi"/>
          <w:b/>
          <w:i/>
          <w:color w:val="2F5496" w:themeColor="accent1" w:themeShade="BF"/>
          <w:sz w:val="24"/>
          <w:szCs w:val="24"/>
        </w:rPr>
        <w:t>Responsabilités du commissaire</w:t>
      </w:r>
      <w:bookmarkEnd w:id="142"/>
      <w:bookmarkEnd w:id="143"/>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rsidR="00FB1CCA" w:rsidRPr="008769D6" w:rsidRDefault="00FB1CCA" w:rsidP="00FB1CCA">
      <w:pPr>
        <w:keepNext/>
        <w:keepLines/>
        <w:spacing w:before="40" w:after="0" w:line="360" w:lineRule="auto"/>
        <w:outlineLvl w:val="2"/>
        <w:rPr>
          <w:rFonts w:ascii="Times New Roman" w:eastAsiaTheme="majorEastAsia" w:hAnsi="Times New Roman" w:cstheme="majorBidi"/>
          <w:b/>
          <w:i/>
          <w:color w:val="2F5496" w:themeColor="accent1" w:themeShade="BF"/>
          <w:sz w:val="24"/>
          <w:szCs w:val="24"/>
        </w:rPr>
      </w:pPr>
      <w:r w:rsidRPr="008769D6">
        <w:rPr>
          <w:rFonts w:asciiTheme="majorHAnsi" w:eastAsiaTheme="majorEastAsia" w:hAnsiTheme="majorHAnsi" w:cstheme="majorBidi"/>
          <w:b/>
          <w:i/>
          <w:color w:val="2F5496" w:themeColor="accent1" w:themeShade="BF"/>
          <w:sz w:val="24"/>
          <w:szCs w:val="24"/>
        </w:rPr>
        <w:lastRenderedPageBreak/>
        <w:t xml:space="preserve">[Aspects relatifs aux autres informations contenues dans le rapport annuel/le rapport d’activités] </w:t>
      </w:r>
      <w:bookmarkStart w:id="144" w:name="_Hlk508115618"/>
      <w:r w:rsidRPr="008769D6">
        <w:rPr>
          <w:rFonts w:ascii="Times New Roman" w:eastAsiaTheme="majorEastAsia" w:hAnsi="Times New Roman" w:cstheme="majorBidi"/>
          <w:b/>
          <w:i/>
          <w:color w:val="2F5496" w:themeColor="accent1" w:themeShade="BF"/>
          <w:sz w:val="24"/>
          <w:szCs w:val="24"/>
        </w:rPr>
        <w:t>[Paragraphe à utiliser lorsque la norme ISA 720 (Révisée) s’applique]</w:t>
      </w:r>
      <w:bookmarkEnd w:id="144"/>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apprécier, en particulier sur la base de notre connaissance acquise lors de l’audit, si les autres informations contenues dans le rapport annuel [rapport d’activités], à savoir</w:t>
      </w:r>
      <w:r w:rsidRPr="008769D6">
        <w:rPr>
          <w:rFonts w:ascii="Times New Roman" w:hAnsi="Times New Roman"/>
          <w:sz w:val="24"/>
          <w:szCs w:val="24"/>
          <w:vertAlign w:val="superscript"/>
        </w:rPr>
        <w:footnoteReference w:id="23"/>
      </w: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sz w:val="24"/>
          <w:szCs w:val="24"/>
          <w:vertAlign w:val="superscript"/>
        </w:rPr>
        <w:t xml:space="preserve"> [</w:t>
      </w:r>
      <w:r w:rsidRPr="008769D6">
        <w:rPr>
          <w:rFonts w:ascii="Times New Roman" w:hAnsi="Times New Roman"/>
          <w:sz w:val="24"/>
          <w:szCs w:val="24"/>
          <w:vertAlign w:val="superscript"/>
        </w:rPr>
        <w:footnoteReference w:id="24"/>
      </w:r>
      <w:r w:rsidRPr="008769D6">
        <w:rPr>
          <w:rFonts w:ascii="Times New Roman" w:hAnsi="Times New Roman"/>
          <w:sz w:val="24"/>
          <w:szCs w:val="24"/>
          <w:vertAlign w:val="superscript"/>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comportent une anomalie significative, à savoir une discordance significative par rapport aux comptes annuels ou une information incorrectement formulée ou autrement trompeuse. Sur la base de ces travaux, nous n’avons pas d’anomalie significative à vous communiquer.</w:t>
      </w:r>
      <w:r>
        <w:rPr>
          <w:rFonts w:ascii="Times New Roman" w:hAnsi="Times New Roman"/>
          <w:sz w:val="24"/>
          <w:szCs w:val="24"/>
        </w:rPr>
        <w:t>]</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45" w:name="_Toc501021581"/>
      <w:bookmarkStart w:id="146" w:name="_Toc505264929"/>
      <w:r w:rsidRPr="008769D6">
        <w:rPr>
          <w:rFonts w:asciiTheme="majorHAnsi" w:eastAsiaTheme="majorEastAsia" w:hAnsiTheme="majorHAnsi" w:cstheme="majorBidi"/>
          <w:b/>
          <w:i/>
          <w:color w:val="2F5496" w:themeColor="accent1" w:themeShade="BF"/>
          <w:sz w:val="24"/>
          <w:szCs w:val="24"/>
        </w:rPr>
        <w:t>Mentions relatives à l’indépendance</w:t>
      </w:r>
      <w:bookmarkEnd w:id="145"/>
      <w:bookmarkEnd w:id="146"/>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25"/>
      </w:r>
      <w:r w:rsidRPr="008769D6">
        <w:rPr>
          <w:rFonts w:ascii="Times New Roman" w:hAnsi="Times New Roman"/>
          <w:sz w:val="24"/>
          <w:szCs w:val="24"/>
        </w:rPr>
        <w:t xml:space="preserve"> n’a pas effectué de missions incompatibles avec le contrôle légal des comptes annuels et est resté indépendant vis-à-vis de l’association au cours de notre mandat.</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r>
        <w:rPr>
          <w:rFonts w:ascii="Times New Roman" w:hAnsi="Times New Roman"/>
          <w:sz w:val="24"/>
          <w:szCs w:val="24"/>
        </w:rPr>
        <w:t>]</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 xml:space="preserve">Etant donné que l’association n’a pas mentionné [correctement] les honoraires relatifs aux missions complémentaires compatibles avec le contrôle légal des comptes annuels visées à l’article 17 de la loi du 27 juin 1921 sur les associations </w:t>
      </w:r>
      <w:r w:rsidRPr="008769D6">
        <w:rPr>
          <w:rFonts w:ascii="Times New Roman" w:hAnsi="Times New Roman"/>
          <w:sz w:val="24"/>
          <w:szCs w:val="24"/>
        </w:rPr>
        <w:lastRenderedPageBreak/>
        <w:t>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[référence aux comptes annuels] [type de mission] [montants].</w:t>
      </w:r>
      <w:r>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47" w:name="_Toc501021582"/>
      <w:bookmarkStart w:id="148" w:name="_Toc505264930"/>
      <w:r w:rsidRPr="008769D6">
        <w:rPr>
          <w:rFonts w:asciiTheme="majorHAnsi" w:eastAsiaTheme="majorEastAsia" w:hAnsiTheme="majorHAnsi" w:cstheme="majorBidi"/>
          <w:b/>
          <w:i/>
          <w:color w:val="2F5496" w:themeColor="accent1" w:themeShade="BF"/>
          <w:sz w:val="24"/>
          <w:szCs w:val="24"/>
        </w:rPr>
        <w:t>Autres mentions</w:t>
      </w:r>
      <w:bookmarkEnd w:id="147"/>
      <w:bookmarkEnd w:id="148"/>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de la loi du 27 juin 1921 sur les associations sans but lucratif, les fondations, les partis politiques européens et les fondations politiques européennes.</w:t>
      </w:r>
    </w:p>
    <w:p w:rsidR="00FB1CCA" w:rsidRPr="008769D6" w:rsidRDefault="00FB1CCA" w:rsidP="00FB1CCA">
      <w:pPr>
        <w:spacing w:after="0" w:line="240" w:lineRule="auto"/>
        <w:jc w:val="both"/>
        <w:rPr>
          <w:rFonts w:ascii="Times New Roman" w:hAnsi="Times New Roman"/>
          <w:b/>
          <w:sz w:val="24"/>
          <w:szCs w:val="24"/>
          <w:u w:val="single"/>
        </w:rPr>
      </w:pPr>
    </w:p>
    <w:p w:rsidR="00FB1CCA" w:rsidRPr="008769D6" w:rsidRDefault="00FB1CCA" w:rsidP="00FB1CCA">
      <w:pPr>
        <w:spacing w:after="0" w:line="240" w:lineRule="auto"/>
        <w:jc w:val="both"/>
        <w:rPr>
          <w:rFonts w:ascii="Times New Roman" w:hAnsi="Times New Roman"/>
          <w:b/>
          <w:sz w:val="24"/>
          <w:szCs w:val="24"/>
          <w:u w:val="single"/>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rPr>
          <w:rFonts w:ascii="Times New Roman" w:hAnsi="Times New Roman"/>
          <w:sz w:val="24"/>
          <w:szCs w:val="24"/>
        </w:rPr>
      </w:pPr>
      <w:r w:rsidRPr="008769D6">
        <w:rPr>
          <w:rFonts w:ascii="Times New Roman" w:hAnsi="Times New Roman"/>
          <w:sz w:val="24"/>
          <w:szCs w:val="24"/>
        </w:rPr>
        <w:t>Réviseur d’entreprises</w:t>
      </w:r>
      <w:bookmarkEnd w:id="127"/>
    </w:p>
    <w:p w:rsidR="00FB1CCA" w:rsidRPr="008769D6" w:rsidRDefault="00FB1CCA" w:rsidP="00FB1CCA">
      <w:pPr>
        <w:rPr>
          <w:rFonts w:ascii="Times New Roman" w:hAnsi="Times New Roman"/>
          <w:sz w:val="24"/>
          <w:szCs w:val="24"/>
        </w:rPr>
      </w:pPr>
      <w:r w:rsidRPr="008769D6">
        <w:rPr>
          <w:rFonts w:ascii="Times New Roman" w:hAnsi="Times New Roman"/>
          <w:sz w:val="24"/>
          <w:szCs w:val="24"/>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aps/>
          <w:color w:val="2F5496" w:themeColor="accent1" w:themeShade="BF"/>
          <w:sz w:val="32"/>
          <w:szCs w:val="32"/>
        </w:rPr>
      </w:pPr>
      <w:bookmarkStart w:id="149" w:name="Annexe_5"/>
      <w:bookmarkStart w:id="150" w:name="_Toc505264931"/>
      <w:r w:rsidRPr="008769D6">
        <w:rPr>
          <w:rFonts w:asciiTheme="majorHAnsi" w:eastAsiaTheme="majorEastAsia" w:hAnsiTheme="majorHAnsi" w:cstheme="majorBidi"/>
          <w:color w:val="2F5496" w:themeColor="accent1" w:themeShade="BF"/>
          <w:sz w:val="32"/>
          <w:szCs w:val="32"/>
        </w:rPr>
        <w:lastRenderedPageBreak/>
        <w:t xml:space="preserve">ANNEXE 5 </w:t>
      </w:r>
      <w:bookmarkEnd w:id="149"/>
      <w:r w:rsidRPr="008769D6">
        <w:rPr>
          <w:rFonts w:asciiTheme="majorHAnsi" w:eastAsiaTheme="majorEastAsia" w:hAnsiTheme="majorHAnsi" w:cstheme="majorBidi"/>
          <w:color w:val="2F5496" w:themeColor="accent1" w:themeShade="BF"/>
          <w:sz w:val="32"/>
          <w:szCs w:val="32"/>
        </w:rPr>
        <w:t>– MODELE DE RAPPORT – COMPTES CONSOLIDES</w:t>
      </w:r>
      <w:r w:rsidRPr="008769D6">
        <w:rPr>
          <w:rFonts w:ascii="Times New Roman" w:eastAsiaTheme="majorEastAsia" w:hAnsi="Times New Roman" w:cstheme="majorBidi"/>
          <w:color w:val="2F5496" w:themeColor="accent1" w:themeShade="BF"/>
          <w:sz w:val="28"/>
          <w:szCs w:val="24"/>
          <w:vertAlign w:val="superscript"/>
        </w:rPr>
        <w:footnoteReference w:id="26"/>
      </w:r>
      <w:r w:rsidRPr="008769D6">
        <w:rPr>
          <w:rFonts w:asciiTheme="majorHAnsi" w:eastAsiaTheme="majorEastAsia" w:hAnsiTheme="majorHAnsi" w:cstheme="majorBidi"/>
          <w:color w:val="2F5496" w:themeColor="accent1" w:themeShade="BF"/>
          <w:sz w:val="32"/>
          <w:szCs w:val="32"/>
        </w:rPr>
        <w:t xml:space="preserve"> –</w:t>
      </w:r>
      <w:r w:rsidRPr="008769D6">
        <w:rPr>
          <w:rFonts w:asciiTheme="majorHAnsi" w:eastAsiaTheme="majorEastAsia" w:hAnsiTheme="majorHAnsi" w:cstheme="majorBidi"/>
          <w:caps/>
          <w:color w:val="2F5496" w:themeColor="accent1" w:themeShade="BF"/>
          <w:sz w:val="32"/>
          <w:szCs w:val="32"/>
        </w:rPr>
        <w:t xml:space="preserve"> EIP</w:t>
      </w:r>
      <w:bookmarkEnd w:id="150"/>
    </w:p>
    <w:p w:rsidR="00FB1CCA" w:rsidRPr="008769D6" w:rsidRDefault="00FB1CCA" w:rsidP="00FB1CCA">
      <w:pPr>
        <w:spacing w:after="0" w:line="240" w:lineRule="auto"/>
        <w:rPr>
          <w:rFonts w:ascii="Times New Roman" w:hAnsi="Times New Roman"/>
          <w:b/>
          <w:sz w:val="24"/>
          <w:szCs w:val="24"/>
        </w:rPr>
      </w:pPr>
    </w:p>
    <w:p w:rsidR="00FB1CCA" w:rsidRPr="008769D6" w:rsidRDefault="00FB1CCA" w:rsidP="00FB1CCA">
      <w:pPr>
        <w:spacing w:after="0" w:line="240" w:lineRule="auto"/>
        <w:jc w:val="center"/>
        <w:rPr>
          <w:rFonts w:ascii="Times New Roman" w:hAnsi="Times New Roman"/>
          <w:b/>
          <w:sz w:val="24"/>
          <w:szCs w:val="24"/>
        </w:rPr>
      </w:pPr>
      <w:bookmarkStart w:id="151" w:name="_Hlk506218979"/>
      <w:r w:rsidRPr="008769D6">
        <w:rPr>
          <w:rFonts w:ascii="Times New Roman" w:hAnsi="Times New Roman"/>
          <w:b/>
          <w:sz w:val="24"/>
          <w:szCs w:val="24"/>
        </w:rPr>
        <w:t>RAPPORT DU COMMISSAIRE A L’ASSEMBLEE GENERALE DE [LA SOCIETE_____________]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CONSOLIDES)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consolidés de </w:t>
      </w:r>
      <w:r w:rsidRPr="008769D6">
        <w:rPr>
          <w:rFonts w:ascii="Times New Roman" w:hAnsi="Times New Roman"/>
          <w:sz w:val="24"/>
        </w:rPr>
        <w:t xml:space="preserve">[la société___] </w:t>
      </w:r>
      <w:r w:rsidRPr="008769D6">
        <w:rPr>
          <w:rFonts w:ascii="Times New Roman" w:hAnsi="Times New Roman"/>
          <w:sz w:val="24"/>
          <w:szCs w:val="24"/>
        </w:rPr>
        <w:t xml:space="preserv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sidRPr="008769D6">
        <w:rPr>
          <w:rFonts w:ascii="Times New Roman" w:hAnsi="Times New Roman"/>
          <w:sz w:val="24"/>
          <w:szCs w:val="24"/>
          <w:vertAlign w:val="superscript"/>
        </w:rPr>
        <w:footnoteReference w:id="27"/>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52" w:name="_Toc501021584"/>
      <w:bookmarkStart w:id="153" w:name="_Toc505264932"/>
      <w:r w:rsidRPr="008769D6">
        <w:rPr>
          <w:rFonts w:asciiTheme="majorHAnsi" w:eastAsiaTheme="majorEastAsia" w:hAnsiTheme="majorHAnsi" w:cstheme="majorBidi"/>
          <w:b/>
          <w:bCs/>
          <w:color w:val="2F5496" w:themeColor="accent1" w:themeShade="BF"/>
          <w:sz w:val="26"/>
          <w:szCs w:val="26"/>
          <w:lang w:eastAsia="en-GB"/>
        </w:rPr>
        <w:t>Rapport sur les comptes consolidés</w:t>
      </w:r>
      <w:bookmarkEnd w:id="152"/>
      <w:bookmarkEnd w:id="153"/>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54" w:name="_Toc501021585"/>
      <w:bookmarkStart w:id="155" w:name="_Toc505264933"/>
      <w:r w:rsidRPr="008769D6">
        <w:rPr>
          <w:rFonts w:asciiTheme="majorHAnsi" w:eastAsiaTheme="majorEastAsia" w:hAnsiTheme="majorHAnsi" w:cstheme="majorBidi"/>
          <w:b/>
          <w:i/>
          <w:color w:val="2F5496" w:themeColor="accent1" w:themeShade="BF"/>
          <w:sz w:val="24"/>
          <w:szCs w:val="24"/>
        </w:rPr>
        <w:t>Opinion sans réserve</w:t>
      </w:r>
      <w:bookmarkEnd w:id="154"/>
      <w:bookmarkEnd w:id="155"/>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consolidés du Groupe , comprenant l’état de la situation financière consolidé</w:t>
      </w:r>
      <w:r w:rsidRPr="008769D6">
        <w:rPr>
          <w:rFonts w:ascii="Times New Roman" w:hAnsi="Times New Roman"/>
          <w:sz w:val="24"/>
          <w:szCs w:val="24"/>
          <w:vertAlign w:val="superscript"/>
        </w:rPr>
        <w:footnoteReference w:id="28"/>
      </w:r>
      <w:r w:rsidRPr="008769D6">
        <w:rPr>
          <w:rFonts w:ascii="Times New Roman" w:hAnsi="Times New Roman"/>
          <w:sz w:val="24"/>
          <w:szCs w:val="24"/>
        </w:rPr>
        <w:t xml:space="preserve"> au __ ____ 20__, ainsi que l’état consolidé du résultat net et des autres éléments du résultat global</w:t>
      </w:r>
      <w:r w:rsidRPr="008769D6">
        <w:rPr>
          <w:rFonts w:ascii="Times New Roman" w:hAnsi="Times New Roman"/>
          <w:sz w:val="24"/>
          <w:szCs w:val="24"/>
          <w:vertAlign w:val="superscript"/>
        </w:rPr>
        <w:footnoteReference w:id="29"/>
      </w:r>
      <w:r w:rsidRPr="008769D6">
        <w:rPr>
          <w:rFonts w:ascii="Times New Roman" w:hAnsi="Times New Roman"/>
          <w:sz w:val="24"/>
          <w:szCs w:val="24"/>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hAnsi="Times New Roman"/>
          <w:bCs/>
          <w:sz w:val="24"/>
          <w:szCs w:val="24"/>
        </w:rPr>
        <w:t xml:space="preserve">, </w:t>
      </w:r>
      <w:r w:rsidRPr="008769D6">
        <w:rPr>
          <w:rFonts w:ascii="Times New Roman" w:hAnsi="Times New Roman"/>
          <w:sz w:val="24"/>
          <w:szCs w:val="24"/>
        </w:rPr>
        <w:t>dont le total de l’état de la situation financière consolidé</w:t>
      </w:r>
      <w:r w:rsidRPr="008769D6" w:rsidDel="00CF56C5">
        <w:rPr>
          <w:rFonts w:ascii="Times New Roman" w:hAnsi="Times New Roman"/>
          <w:sz w:val="24"/>
          <w:szCs w:val="24"/>
        </w:rPr>
        <w:t xml:space="preserve"> </w:t>
      </w:r>
      <w:r w:rsidRPr="008769D6">
        <w:rPr>
          <w:rFonts w:ascii="Times New Roman" w:hAnsi="Times New Roman"/>
          <w:sz w:val="24"/>
          <w:szCs w:val="24"/>
        </w:rPr>
        <w:t xml:space="preserve">s’élève à € __________ et </w:t>
      </w:r>
      <w:bookmarkStart w:id="156" w:name="_Hlk508115205"/>
      <w:r w:rsidRPr="008769D6">
        <w:rPr>
          <w:rFonts w:ascii="Times New Roman" w:hAnsi="Times New Roman"/>
          <w:sz w:val="24"/>
          <w:szCs w:val="24"/>
        </w:rPr>
        <w:t xml:space="preserve">dont l’état consolidé du résultat net et des autres éléments du résultat global se solde par un bénéfice </w:t>
      </w:r>
      <w:bookmarkEnd w:id="156"/>
      <w:r w:rsidRPr="008769D6">
        <w:rPr>
          <w:rFonts w:ascii="Times New Roman" w:hAnsi="Times New Roman"/>
          <w:sz w:val="24"/>
          <w:szCs w:val="24"/>
        </w:rPr>
        <w:t>[une perte]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157" w:name="_Toc501021586"/>
      <w:bookmarkStart w:id="158" w:name="_Toc505264934"/>
      <w:r w:rsidRPr="008769D6">
        <w:rPr>
          <w:rFonts w:asciiTheme="majorHAnsi" w:eastAsiaTheme="majorEastAsia" w:hAnsiTheme="majorHAnsi" w:cstheme="majorBidi"/>
          <w:b/>
          <w:i/>
          <w:color w:val="2F5496" w:themeColor="accent1" w:themeShade="BF"/>
          <w:sz w:val="24"/>
          <w:szCs w:val="24"/>
          <w:lang w:bidi="he-IL"/>
        </w:rPr>
        <w:lastRenderedPageBreak/>
        <w:t>Fondement de l’opinion sans réserve</w:t>
      </w:r>
      <w:bookmarkEnd w:id="157"/>
      <w:bookmarkEnd w:id="158"/>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30"/>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59" w:name="_Toc501021587"/>
      <w:bookmarkStart w:id="160" w:name="_Toc505264935"/>
      <w:r w:rsidRPr="008769D6">
        <w:rPr>
          <w:rFonts w:asciiTheme="majorHAnsi" w:eastAsiaTheme="majorEastAsia" w:hAnsiTheme="majorHAnsi" w:cstheme="majorBidi"/>
          <w:b/>
          <w:i/>
          <w:color w:val="2F5496" w:themeColor="accent1" w:themeShade="BF"/>
          <w:sz w:val="24"/>
          <w:szCs w:val="24"/>
        </w:rPr>
        <w:t>Points clés de l’audit</w:t>
      </w:r>
      <w:bookmarkEnd w:id="159"/>
      <w:bookmarkEnd w:id="160"/>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rsidR="00FB1CCA" w:rsidRPr="008769D6" w:rsidRDefault="00FB1CCA" w:rsidP="00FB1CCA">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rsidR="00FB1CCA" w:rsidRPr="008769D6" w:rsidRDefault="00FB1CCA" w:rsidP="00FB1CCA">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rsidR="00FB1CCA" w:rsidRPr="008769D6" w:rsidRDefault="00FB1CCA" w:rsidP="00FB1CCA">
      <w:pPr>
        <w:spacing w:after="0" w:line="240" w:lineRule="auto"/>
        <w:jc w:val="both"/>
        <w:rPr>
          <w:rFonts w:ascii="Times New Roman" w:hAnsi="Times New Roman"/>
          <w:i/>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61" w:name="_Toc501021588"/>
      <w:bookmarkStart w:id="162" w:name="_Toc505264936"/>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consolidés</w:t>
      </w:r>
      <w:bookmarkEnd w:id="161"/>
      <w:bookmarkEnd w:id="162"/>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63" w:name="_Toc501021589"/>
      <w:bookmarkStart w:id="164" w:name="_Toc505264937"/>
      <w:r w:rsidRPr="008769D6">
        <w:rPr>
          <w:rFonts w:asciiTheme="majorHAnsi" w:eastAsiaTheme="majorEastAsia" w:hAnsiTheme="majorHAnsi" w:cstheme="majorBidi"/>
          <w:b/>
          <w:i/>
          <w:color w:val="2F5496" w:themeColor="accent1" w:themeShade="BF"/>
          <w:sz w:val="24"/>
          <w:szCs w:val="24"/>
        </w:rPr>
        <w:t>Responsabilités du commissaire relatives à l’audit des comptes consolidés</w:t>
      </w:r>
      <w:bookmarkEnd w:id="163"/>
      <w:bookmarkEnd w:id="164"/>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w:t>
      </w:r>
      <w:r w:rsidRPr="008769D6">
        <w:rPr>
          <w:rFonts w:ascii="Times New Roman" w:hAnsi="Times New Roman"/>
          <w:sz w:val="24"/>
          <w:szCs w:val="24"/>
        </w:rPr>
        <w:lastRenderedPageBreak/>
        <w:t>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rsidR="00FB1CCA" w:rsidRPr="008769D6" w:rsidRDefault="00FB1CCA" w:rsidP="00FB1CCA">
      <w:pPr>
        <w:numPr>
          <w:ilvl w:val="0"/>
          <w:numId w:val="26"/>
        </w:numPr>
        <w:spacing w:after="0" w:line="240" w:lineRule="auto"/>
        <w:ind w:left="567"/>
        <w:jc w:val="both"/>
        <w:rPr>
          <w:rFonts w:ascii="Times New Roman" w:hAnsi="Times New Roman"/>
          <w:sz w:val="24"/>
          <w:szCs w:val="24"/>
        </w:rPr>
      </w:pPr>
      <w:r w:rsidRPr="008769D6">
        <w:rPr>
          <w:rFonts w:ascii="Times New Roman" w:eastAsiaTheme="minorHAnsi" w:hAnsi="Times New Roman"/>
          <w:color w:val="000000"/>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8769D6">
        <w:rPr>
          <w:rFonts w:ascii="Times New Roman" w:hAnsi="Times New Roman"/>
          <w:sz w:val="24"/>
          <w:szCs w:val="24"/>
        </w:rPr>
        <w:t>.</w:t>
      </w:r>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une déclaration précisant que nous nous sommes conformés aux règles déontologiques pertinentes concernant </w:t>
      </w:r>
      <w:r w:rsidRPr="008769D6">
        <w:rPr>
          <w:rFonts w:ascii="Times New Roman" w:hAnsi="Times New Roman"/>
          <w:sz w:val="24"/>
          <w:szCs w:val="24"/>
        </w:rPr>
        <w:lastRenderedPageBreak/>
        <w:t>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65" w:name="_Toc501021590"/>
      <w:bookmarkStart w:id="166" w:name="_Toc505264938"/>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165"/>
      <w:bookmarkEnd w:id="166"/>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67" w:name="_Toc501021591"/>
      <w:bookmarkStart w:id="168" w:name="_Toc505264939"/>
      <w:r w:rsidRPr="008769D6">
        <w:rPr>
          <w:rFonts w:asciiTheme="majorHAnsi" w:eastAsiaTheme="majorEastAsia" w:hAnsiTheme="majorHAnsi" w:cstheme="majorBidi"/>
          <w:b/>
          <w:i/>
          <w:color w:val="2F5496" w:themeColor="accent1" w:themeShade="BF"/>
          <w:sz w:val="24"/>
          <w:szCs w:val="24"/>
        </w:rPr>
        <w:t>Responsabilités de l’organe de gestion</w:t>
      </w:r>
      <w:bookmarkEnd w:id="167"/>
      <w:bookmarkEnd w:id="168"/>
    </w:p>
    <w:p w:rsidR="00FB1CCA" w:rsidRPr="008769D6" w:rsidRDefault="00FB1CCA" w:rsidP="00FB1CCA">
      <w:pPr>
        <w:spacing w:after="0" w:line="240" w:lineRule="auto"/>
        <w:jc w:val="both"/>
        <w:rPr>
          <w:rFonts w:ascii="Times New Roman" w:hAnsi="Times New Roman"/>
          <w:sz w:val="24"/>
          <w:szCs w:val="24"/>
        </w:rPr>
      </w:pPr>
      <w:bookmarkStart w:id="169" w:name="_Hlk506201538"/>
      <w:r w:rsidRPr="008769D6">
        <w:rPr>
          <w:rFonts w:ascii="Times New Roman" w:hAnsi="Times New Roman"/>
          <w:sz w:val="24"/>
          <w:szCs w:val="24"/>
        </w:rPr>
        <w:t>L’organe de gestion est responsable de la préparation et du contenu du rapport de gestion sur les comptes consolidés [, de la déclaration non financière annexée à celui-ci</w:t>
      </w:r>
      <w:r w:rsidRPr="008769D6">
        <w:rPr>
          <w:rFonts w:ascii="Times New Roman" w:hAnsi="Times New Roman"/>
          <w:sz w:val="24"/>
          <w:szCs w:val="24"/>
          <w:vertAlign w:val="superscript"/>
        </w:rPr>
        <w:footnoteReference w:id="31"/>
      </w:r>
      <w:r w:rsidRPr="008769D6">
        <w:rPr>
          <w:rFonts w:ascii="Times New Roman" w:hAnsi="Times New Roman"/>
          <w:sz w:val="24"/>
          <w:szCs w:val="24"/>
        </w:rPr>
        <w:t>] [et des autres informations  contenues dans le rapport annuel sur les comptes consolidés].</w:t>
      </w:r>
      <w:bookmarkEnd w:id="169"/>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70" w:name="_Toc501021592"/>
      <w:bookmarkStart w:id="171" w:name="_Toc505264940"/>
      <w:r w:rsidRPr="008769D6">
        <w:rPr>
          <w:rFonts w:asciiTheme="majorHAnsi" w:eastAsiaTheme="majorEastAsia" w:hAnsiTheme="majorHAnsi" w:cstheme="majorBidi"/>
          <w:b/>
          <w:i/>
          <w:color w:val="2F5496" w:themeColor="accent1" w:themeShade="BF"/>
          <w:sz w:val="24"/>
          <w:szCs w:val="24"/>
        </w:rPr>
        <w:t>Responsabilités du commissaire</w:t>
      </w:r>
      <w:bookmarkEnd w:id="170"/>
      <w:bookmarkEnd w:id="171"/>
    </w:p>
    <w:p w:rsidR="00FB1CCA" w:rsidRPr="008769D6" w:rsidRDefault="00FB1CCA" w:rsidP="00FB1CCA">
      <w:pPr>
        <w:spacing w:after="0" w:line="240" w:lineRule="auto"/>
        <w:jc w:val="both"/>
        <w:rPr>
          <w:rFonts w:ascii="Times New Roman" w:hAnsi="Times New Roman"/>
          <w:sz w:val="24"/>
          <w:szCs w:val="24"/>
        </w:rPr>
      </w:pPr>
      <w:bookmarkStart w:id="172" w:name="_Hlk506201697"/>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 la déclaration non financière annexée à celui-ci</w:t>
      </w:r>
      <w:bookmarkStart w:id="173" w:name="_Hlk506201726"/>
      <w:r w:rsidRPr="008769D6">
        <w:rPr>
          <w:rFonts w:ascii="Times New Roman" w:hAnsi="Times New Roman"/>
          <w:sz w:val="24"/>
          <w:szCs w:val="24"/>
          <w:vertAlign w:val="superscript"/>
        </w:rPr>
        <w:footnoteReference w:id="32"/>
      </w:r>
      <w:bookmarkEnd w:id="173"/>
      <w:r w:rsidRPr="008769D6">
        <w:rPr>
          <w:rFonts w:ascii="Times New Roman" w:hAnsi="Times New Roman"/>
          <w:sz w:val="24"/>
          <w:szCs w:val="24"/>
        </w:rPr>
        <w:t>] [et les autres informations contenues dans le rapport annuel sur les comptes consolidés], ainsi que de faire rapport sur cet élément [ces éléments].</w:t>
      </w:r>
      <w:bookmarkEnd w:id="172"/>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174" w:name="_Toc501021593"/>
      <w:bookmarkStart w:id="175" w:name="_Toc505264941"/>
      <w:r w:rsidRPr="008769D6">
        <w:rPr>
          <w:rFonts w:asciiTheme="majorHAnsi" w:eastAsiaTheme="majorEastAsia" w:hAnsiTheme="majorHAnsi" w:cstheme="majorBidi"/>
          <w:b/>
          <w:i/>
          <w:color w:val="2F5496" w:themeColor="accent1" w:themeShade="BF"/>
          <w:sz w:val="24"/>
          <w:szCs w:val="24"/>
        </w:rPr>
        <w:t>Aspects relatifs au rapport de gestion sur les comptes consolidés [le cas échéant : et aux autres informations contenues dans le rapport annuel sur les comptes consolidés]</w:t>
      </w:r>
      <w:bookmarkEnd w:id="174"/>
      <w:bookmarkEnd w:id="175"/>
    </w:p>
    <w:p w:rsidR="00FB1CCA" w:rsidRPr="008769D6" w:rsidRDefault="00FB1CCA" w:rsidP="00FB1CCA">
      <w:pPr>
        <w:spacing w:after="0" w:line="240" w:lineRule="auto"/>
        <w:jc w:val="both"/>
        <w:rPr>
          <w:rFonts w:ascii="Times New Roman" w:hAnsi="Times New Roman"/>
          <w:sz w:val="24"/>
          <w:szCs w:val="24"/>
        </w:rPr>
      </w:pPr>
      <w:r w:rsidRPr="008769D6" w:rsidDel="004266F3">
        <w:rPr>
          <w:rFonts w:ascii="Times New Roman" w:hAnsi="Times New Roman"/>
          <w:sz w:val="24"/>
          <w:szCs w:val="24"/>
        </w:rPr>
        <w:t>A</w:t>
      </w:r>
      <w:r w:rsidRPr="008769D6">
        <w:rPr>
          <w:rFonts w:ascii="Times New Roman" w:hAnsi="Times New Roman"/>
          <w:sz w:val="24"/>
          <w:szCs w:val="24"/>
        </w:rPr>
        <w:t xml:space="preserve"> l’issue des vérifications spécifiques sur le rapport de gestion sur les comptes consolidés, nous sommes d’avis que celui-ci concorde avec les comptes consolidés pour le même exercice et a été établi conformément à l’article 119 du Code des sociétés.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bookmarkStart w:id="176" w:name="_Hlk506202168"/>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bookmarkEnd w:id="176"/>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i/>
          <w:sz w:val="24"/>
          <w:szCs w:val="24"/>
        </w:rPr>
      </w:pPr>
      <w:r w:rsidRPr="008769D6">
        <w:rPr>
          <w:rFonts w:ascii="Times New Roman" w:hAnsi="Times New Roman"/>
          <w:sz w:val="24"/>
          <w:szCs w:val="24"/>
          <w:u w:val="single"/>
        </w:rPr>
        <w:lastRenderedPageBreak/>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rsidR="00FB1CCA" w:rsidRPr="008769D6" w:rsidRDefault="00FB1CCA" w:rsidP="00FB1CCA">
      <w:pPr>
        <w:spacing w:after="0" w:line="240" w:lineRule="auto"/>
        <w:ind w:left="709"/>
        <w:jc w:val="both"/>
        <w:rPr>
          <w:rFonts w:ascii="Times New Roman" w:hAnsi="Times New Roman"/>
          <w:b/>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rsidR="00FB1CCA" w:rsidRPr="008769D6" w:rsidRDefault="00FB1CCA" w:rsidP="00FB1CCA">
      <w:pPr>
        <w:spacing w:after="0" w:line="240" w:lineRule="auto"/>
        <w:jc w:val="both"/>
        <w:rPr>
          <w:rFonts w:ascii="Times New Roman" w:hAnsi="Times New Roman"/>
          <w:sz w:val="24"/>
          <w:szCs w:val="24"/>
        </w:rPr>
      </w:pPr>
      <w:bookmarkStart w:id="177" w:name="_Hlk506202447"/>
      <w:r>
        <w:rPr>
          <w:rFonts w:ascii="Times New Roman" w:hAnsi="Times New Roman"/>
          <w:sz w:val="24"/>
          <w:szCs w:val="24"/>
        </w:rPr>
        <w:t xml:space="preserve"> </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sur les comptes consolidés, dans lequel figure son rapport de gestion sur les comptes consolidés</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8769D6">
        <w:rPr>
          <w:rFonts w:ascii="Times New Roman" w:hAnsi="Times New Roman"/>
          <w:sz w:val="24"/>
          <w:szCs w:val="24"/>
          <w:vertAlign w:val="superscript"/>
        </w:rPr>
        <w:footnoteReference w:id="33"/>
      </w:r>
      <w:r w:rsidRPr="008769D6">
        <w:rPr>
          <w:rFonts w:ascii="Times New Roman" w:hAnsi="Times New Roman"/>
          <w:sz w:val="24"/>
          <w:szCs w:val="24"/>
        </w:rPr>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sz w:val="24"/>
          <w:szCs w:val="24"/>
          <w:vertAlign w:val="superscript"/>
        </w:rPr>
        <w:t xml:space="preserve"> [</w:t>
      </w:r>
      <w:r w:rsidRPr="008769D6">
        <w:rPr>
          <w:rFonts w:ascii="Times New Roman" w:hAnsi="Times New Roman"/>
          <w:sz w:val="24"/>
          <w:szCs w:val="24"/>
          <w:vertAlign w:val="superscript"/>
        </w:rPr>
        <w:footnoteReference w:id="34"/>
      </w:r>
      <w:r w:rsidRPr="008769D6">
        <w:rPr>
          <w:rFonts w:ascii="Times New Roman" w:hAnsi="Times New Roman"/>
          <w:sz w:val="24"/>
          <w:szCs w:val="24"/>
          <w:vertAlign w:val="superscript"/>
        </w:rPr>
        <w:t>]</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lastRenderedPageBreak/>
        <w:t>-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bookmarkEnd w:id="177"/>
    <w:p w:rsidR="00FB1CCA" w:rsidRPr="008769D6" w:rsidRDefault="00FB1CCA" w:rsidP="00FB1CCA">
      <w:pPr>
        <w:spacing w:after="0" w:line="240" w:lineRule="auto"/>
        <w:ind w:left="709"/>
        <w:jc w:val="both"/>
        <w:rPr>
          <w:rFonts w:ascii="Times New Roman" w:hAnsi="Times New Roman"/>
          <w:i/>
          <w:sz w:val="24"/>
          <w:szCs w:val="24"/>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rsidR="00FB1CCA" w:rsidRPr="008769D6" w:rsidRDefault="00FB1CCA" w:rsidP="00FB1CCA">
      <w:pPr>
        <w:spacing w:after="0" w:line="240" w:lineRule="auto"/>
        <w:ind w:left="709"/>
        <w:jc w:val="both"/>
        <w:rPr>
          <w:rFonts w:ascii="Times New Roman" w:hAnsi="Times New Roman"/>
          <w:b/>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qui fait partie de la section [numéro] du rapport annuel.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rsidR="00FB1CCA" w:rsidRPr="008769D6" w:rsidRDefault="00FB1CCA" w:rsidP="00FB1CCA">
      <w:pPr>
        <w:spacing w:after="0" w:line="240" w:lineRule="auto"/>
        <w:ind w:left="709"/>
        <w:jc w:val="both"/>
        <w:rPr>
          <w:rFonts w:ascii="Times New Roman" w:hAnsi="Times New Roman"/>
          <w:sz w:val="24"/>
          <w:szCs w:val="24"/>
        </w:rPr>
      </w:pP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qui fait partie de la section [numéro] du rapport annuel. Ce rapport sur les informations non financières contient les informations requises par l’article 119, § 2 du Code des sociétés et concorde avec les comptes consolidés pour le même exercice. Pour l’établissement de cette information non financière, le Groupe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78" w:name="_Toc501021594"/>
      <w:bookmarkStart w:id="179" w:name="_Toc505264942"/>
      <w:r w:rsidRPr="008769D6">
        <w:rPr>
          <w:rFonts w:asciiTheme="majorHAnsi" w:eastAsiaTheme="majorEastAsia" w:hAnsiTheme="majorHAnsi" w:cstheme="majorBidi"/>
          <w:b/>
          <w:i/>
          <w:color w:val="2F5496" w:themeColor="accent1" w:themeShade="BF"/>
          <w:sz w:val="24"/>
          <w:szCs w:val="24"/>
        </w:rPr>
        <w:lastRenderedPageBreak/>
        <w:t>Mentions relatives à l’indépendance</w:t>
      </w:r>
      <w:bookmarkEnd w:id="178"/>
      <w:bookmarkEnd w:id="179"/>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35"/>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valorisés et ventilés dans l’annexe des comptes consolidés.</w:t>
      </w:r>
      <w:r>
        <w:rPr>
          <w:rFonts w:ascii="Times New Roman" w:hAnsi="Times New Roman"/>
          <w:sz w:val="24"/>
          <w:szCs w:val="24"/>
        </w:rPr>
        <w:t>]</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l’annexe aux comptes annuels, nous vous précisons que ceux-ci devraient être valorisés et/ou ventilés comme suit [référence aux comptes consolidés] [type de mission] [montants].</w:t>
      </w:r>
      <w:r>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b/>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80" w:name="_Toc501021595"/>
      <w:bookmarkStart w:id="181" w:name="_Toc505264943"/>
      <w:r w:rsidRPr="008769D6">
        <w:rPr>
          <w:rFonts w:asciiTheme="majorHAnsi" w:eastAsiaTheme="majorEastAsia" w:hAnsiTheme="majorHAnsi" w:cstheme="majorBidi"/>
          <w:b/>
          <w:i/>
          <w:color w:val="2F5496" w:themeColor="accent1" w:themeShade="BF"/>
          <w:sz w:val="24"/>
          <w:szCs w:val="24"/>
        </w:rPr>
        <w:t>Autres mentions</w:t>
      </w:r>
      <w:bookmarkEnd w:id="180"/>
      <w:bookmarkEnd w:id="181"/>
    </w:p>
    <w:p w:rsidR="00FB1CCA" w:rsidRPr="008769D6" w:rsidRDefault="00FB1CCA" w:rsidP="00FB1CCA">
      <w:pPr>
        <w:numPr>
          <w:ilvl w:val="0"/>
          <w:numId w:val="27"/>
        </w:numPr>
        <w:spacing w:after="0" w:line="240" w:lineRule="auto"/>
        <w:contextualSpacing/>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w:t>
      </w:r>
      <w:r w:rsidRPr="008769D6">
        <w:rPr>
          <w:rFonts w:ascii="Times New Roman" w:hAnsi="Times New Roman"/>
          <w:bCs/>
          <w:sz w:val="24"/>
          <w:szCs w:val="24"/>
        </w:rPr>
        <w:t xml:space="preserve"> insérer un paragraphe</w:t>
      </w:r>
      <w:r w:rsidRPr="008769D6">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b/>
          <w:sz w:val="24"/>
          <w:szCs w:val="24"/>
          <w:u w:val="single"/>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bookmarkEnd w:id="151"/>
    </w:p>
    <w:p w:rsidR="00FB1CCA" w:rsidRPr="008769D6" w:rsidRDefault="00FB1CCA" w:rsidP="00FB1CCA">
      <w:pPr>
        <w:rPr>
          <w:rFonts w:asciiTheme="majorHAnsi" w:eastAsiaTheme="majorEastAsia" w:hAnsiTheme="majorHAnsi" w:cstheme="majorBidi"/>
          <w:color w:val="2F5496" w:themeColor="accent1" w:themeShade="BF"/>
          <w:sz w:val="32"/>
          <w:szCs w:val="32"/>
        </w:rPr>
      </w:pPr>
      <w:bookmarkStart w:id="182" w:name="Annexe_6"/>
      <w:bookmarkStart w:id="183" w:name="_Toc505264944"/>
      <w:r w:rsidRPr="008769D6">
        <w:rPr>
          <w:rFonts w:asciiTheme="majorHAnsi" w:eastAsiaTheme="majorEastAsia" w:hAnsiTheme="majorHAnsi" w:cstheme="majorBidi"/>
          <w:color w:val="2F5496" w:themeColor="accent1" w:themeShade="BF"/>
          <w:sz w:val="32"/>
          <w:szCs w:val="32"/>
        </w:rPr>
        <w:br w:type="page"/>
      </w: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aps/>
          <w:color w:val="2F5496" w:themeColor="accent1" w:themeShade="BF"/>
          <w:sz w:val="32"/>
          <w:szCs w:val="32"/>
        </w:rPr>
      </w:pPr>
      <w:r w:rsidRPr="008769D6">
        <w:rPr>
          <w:rFonts w:asciiTheme="majorHAnsi" w:eastAsiaTheme="majorEastAsia" w:hAnsiTheme="majorHAnsi" w:cstheme="majorBidi"/>
          <w:color w:val="2F5496" w:themeColor="accent1" w:themeShade="BF"/>
          <w:sz w:val="32"/>
          <w:szCs w:val="32"/>
        </w:rPr>
        <w:lastRenderedPageBreak/>
        <w:t xml:space="preserve">ANNEXE 6 </w:t>
      </w:r>
      <w:bookmarkEnd w:id="182"/>
      <w:r w:rsidRPr="008769D6">
        <w:rPr>
          <w:rFonts w:asciiTheme="majorHAnsi" w:eastAsiaTheme="majorEastAsia" w:hAnsiTheme="majorHAnsi" w:cstheme="majorBidi"/>
          <w:color w:val="2F5496" w:themeColor="accent1" w:themeShade="BF"/>
          <w:sz w:val="32"/>
          <w:szCs w:val="32"/>
        </w:rPr>
        <w:t xml:space="preserve">– MODELE DE RAPPORT – COMPTES CONSOLIDES – </w:t>
      </w:r>
      <w:r w:rsidRPr="008769D6">
        <w:rPr>
          <w:rFonts w:asciiTheme="majorHAnsi" w:eastAsiaTheme="majorEastAsia" w:hAnsiTheme="majorHAnsi" w:cstheme="majorBidi"/>
          <w:caps/>
          <w:color w:val="2F5496" w:themeColor="accent1" w:themeShade="BF"/>
          <w:sz w:val="32"/>
          <w:szCs w:val="32"/>
        </w:rPr>
        <w:t>entité autre qu’une EIP</w:t>
      </w:r>
      <w:bookmarkEnd w:id="183"/>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center"/>
        <w:rPr>
          <w:rFonts w:ascii="Times New Roman" w:hAnsi="Times New Roman"/>
          <w:b/>
          <w:sz w:val="24"/>
          <w:szCs w:val="24"/>
        </w:rPr>
      </w:pPr>
      <w:bookmarkStart w:id="184" w:name="_Hlk506219040"/>
      <w:r w:rsidRPr="008769D6">
        <w:rPr>
          <w:rFonts w:ascii="Times New Roman" w:hAnsi="Times New Roman"/>
          <w:b/>
          <w:sz w:val="24"/>
          <w:szCs w:val="24"/>
        </w:rPr>
        <w:t>RAPPORT DU COMMISSAIRE A L’ASSEMBLEE GENERALE DE [LA SOCIETE_____________] POUR L’EXERCICE CLOS LE __ _____________20__</w:t>
      </w:r>
    </w:p>
    <w:p w:rsidR="00FB1CCA" w:rsidRPr="008769D6" w:rsidRDefault="00FB1CCA" w:rsidP="00FB1CCA">
      <w:pPr>
        <w:spacing w:after="120" w:line="240" w:lineRule="auto"/>
        <w:jc w:val="center"/>
        <w:rPr>
          <w:rFonts w:ascii="Times New Roman" w:hAnsi="Times New Roman"/>
          <w:b/>
          <w:sz w:val="24"/>
          <w:szCs w:val="24"/>
        </w:rPr>
      </w:pPr>
      <w:r w:rsidRPr="008769D6">
        <w:rPr>
          <w:rFonts w:ascii="Times New Roman" w:hAnsi="Times New Roman"/>
          <w:b/>
          <w:sz w:val="24"/>
          <w:szCs w:val="24"/>
        </w:rPr>
        <w:t>(COMPTES CONSOLIDES)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consolidés de [la société___]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présentation du conseil d’entreprise</w:t>
      </w:r>
      <w:r w:rsidRPr="008769D6">
        <w:rPr>
          <w:rFonts w:ascii="Times New Roman" w:hAnsi="Times New Roman"/>
          <w:sz w:val="24"/>
          <w:szCs w:val="24"/>
          <w:vertAlign w:val="superscript"/>
        </w:rPr>
        <w:footnoteReference w:id="36"/>
      </w:r>
      <w:r w:rsidRPr="008769D6">
        <w:rPr>
          <w:rFonts w:ascii="Times New Roman" w:hAnsi="Times New Roman"/>
          <w:sz w:val="24"/>
          <w:szCs w:val="24"/>
        </w:rPr>
        <w:t>]. Notre mandat de commissaire vient à échéance à la date de l’assemblée générale délibérant sur les comptes annuels clôturés au [xx]. Nous avons exercé le contrôle légal des comptes consolidés de [la société xx] durant [xx] exercices consécutifs.</w:t>
      </w:r>
      <w:r w:rsidRPr="008769D6">
        <w:rPr>
          <w:rFonts w:ascii="Times New Roman" w:hAnsi="Times New Roman"/>
          <w:sz w:val="24"/>
          <w:szCs w:val="24"/>
          <w:vertAlign w:val="superscript"/>
        </w:rPr>
        <w:footnoteReference w:id="37"/>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85" w:name="_Toc501021597"/>
      <w:bookmarkStart w:id="186" w:name="_Toc505264945"/>
      <w:r w:rsidRPr="008769D6">
        <w:rPr>
          <w:rFonts w:asciiTheme="majorHAnsi" w:eastAsiaTheme="majorEastAsia" w:hAnsiTheme="majorHAnsi" w:cstheme="majorBidi"/>
          <w:b/>
          <w:bCs/>
          <w:color w:val="2F5496" w:themeColor="accent1" w:themeShade="BF"/>
          <w:sz w:val="26"/>
          <w:szCs w:val="26"/>
          <w:lang w:eastAsia="en-GB"/>
        </w:rPr>
        <w:t>Rapport sur les comptes consolidés</w:t>
      </w:r>
      <w:bookmarkEnd w:id="185"/>
      <w:bookmarkEnd w:id="186"/>
      <w:r w:rsidRPr="008769D6">
        <w:rPr>
          <w:rFonts w:asciiTheme="majorHAnsi" w:eastAsiaTheme="majorEastAsia" w:hAnsiTheme="majorHAnsi" w:cstheme="majorBidi"/>
          <w:b/>
          <w:bCs/>
          <w:color w:val="2F5496" w:themeColor="accent1" w:themeShade="BF"/>
          <w:sz w:val="26"/>
          <w:szCs w:val="26"/>
          <w:lang w:eastAsia="en-GB"/>
        </w:rPr>
        <w:t xml:space="preserv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87" w:name="_Toc501021598"/>
      <w:bookmarkStart w:id="188" w:name="_Toc505264946"/>
      <w:r w:rsidRPr="008769D6">
        <w:rPr>
          <w:rFonts w:asciiTheme="majorHAnsi" w:eastAsiaTheme="majorEastAsia" w:hAnsiTheme="majorHAnsi" w:cstheme="majorBidi"/>
          <w:b/>
          <w:i/>
          <w:color w:val="2F5496" w:themeColor="accent1" w:themeShade="BF"/>
          <w:sz w:val="24"/>
          <w:szCs w:val="24"/>
        </w:rPr>
        <w:t>Opinion sans réserve</w:t>
      </w:r>
      <w:bookmarkEnd w:id="187"/>
      <w:bookmarkEnd w:id="188"/>
    </w:p>
    <w:p w:rsidR="00FB1CCA" w:rsidRPr="008769D6" w:rsidRDefault="00FB1CCA" w:rsidP="00FB1CC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nl-NL"/>
        </w:rPr>
      </w:pPr>
      <w:r w:rsidRPr="008769D6">
        <w:rPr>
          <w:rFonts w:ascii="Times New Roman" w:eastAsia="Times New Roman" w:hAnsi="Times New Roman"/>
          <w:sz w:val="24"/>
          <w:szCs w:val="24"/>
          <w:lang w:eastAsia="nl-NL"/>
        </w:rPr>
        <w:t>Nous avons procédé au contrôle légal des comptes consolidés du Groupe , comprenant l’état de la situation financière consolidé</w:t>
      </w:r>
      <w:r w:rsidRPr="008769D6">
        <w:rPr>
          <w:rFonts w:ascii="Times New Roman" w:eastAsia="Times New Roman" w:hAnsi="Times New Roman"/>
          <w:sz w:val="24"/>
          <w:szCs w:val="24"/>
          <w:vertAlign w:val="superscript"/>
          <w:lang w:val="nl-NL" w:eastAsia="nl-NL"/>
        </w:rPr>
        <w:footnoteReference w:id="38"/>
      </w:r>
      <w:r w:rsidRPr="008769D6">
        <w:rPr>
          <w:rFonts w:ascii="Times New Roman" w:eastAsia="Times New Roman" w:hAnsi="Times New Roman"/>
          <w:sz w:val="24"/>
          <w:szCs w:val="24"/>
          <w:lang w:eastAsia="nl-NL"/>
        </w:rPr>
        <w:t xml:space="preserve"> au __ ____ 20__, l’état consolidé du résultat net et des autres éléments du résultat global</w:t>
      </w:r>
      <w:r w:rsidRPr="008769D6">
        <w:rPr>
          <w:rFonts w:ascii="Times New Roman" w:eastAsia="Times New Roman" w:hAnsi="Times New Roman"/>
          <w:sz w:val="24"/>
          <w:szCs w:val="24"/>
          <w:vertAlign w:val="superscript"/>
          <w:lang w:val="nl-NL" w:eastAsia="nl-NL"/>
        </w:rPr>
        <w:footnoteReference w:id="39"/>
      </w:r>
      <w:r w:rsidRPr="008769D6">
        <w:rPr>
          <w:rFonts w:ascii="Times New Roman" w:eastAsia="Times New Roman" w:hAnsi="Times New Roman"/>
          <w:sz w:val="24"/>
          <w:szCs w:val="24"/>
          <w:lang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eastAsia="Times New Roman" w:hAnsi="Times New Roman"/>
          <w:bCs/>
          <w:sz w:val="24"/>
          <w:szCs w:val="24"/>
          <w:lang w:eastAsia="nl-NL"/>
        </w:rPr>
        <w:t xml:space="preserve">, </w:t>
      </w:r>
      <w:r w:rsidRPr="008769D6">
        <w:rPr>
          <w:rFonts w:ascii="Times New Roman" w:eastAsia="Times New Roman" w:hAnsi="Times New Roman"/>
          <w:sz w:val="24"/>
          <w:szCs w:val="24"/>
          <w:lang w:eastAsia="nl-NL"/>
        </w:rPr>
        <w:t>dont le total de l’état de la situation financière consolidé</w:t>
      </w:r>
      <w:r w:rsidRPr="008769D6" w:rsidDel="00CF56C5">
        <w:rPr>
          <w:rFonts w:ascii="Times New Roman" w:eastAsia="Times New Roman" w:hAnsi="Times New Roman"/>
          <w:sz w:val="24"/>
          <w:szCs w:val="24"/>
          <w:lang w:eastAsia="nl-NL"/>
        </w:rPr>
        <w:t xml:space="preserve"> </w:t>
      </w:r>
      <w:r w:rsidRPr="008769D6">
        <w:rPr>
          <w:rFonts w:ascii="Times New Roman" w:eastAsia="Times New Roman" w:hAnsi="Times New Roman"/>
          <w:sz w:val="24"/>
          <w:szCs w:val="24"/>
          <w:lang w:eastAsia="nl-NL"/>
        </w:rPr>
        <w:t xml:space="preserve">s’élève à € __________ </w:t>
      </w:r>
      <w:bookmarkStart w:id="189" w:name="_Hlk508116447"/>
      <w:r w:rsidRPr="008769D6">
        <w:rPr>
          <w:rFonts w:ascii="Times New Roman" w:eastAsia="Times New Roman" w:hAnsi="Times New Roman"/>
          <w:sz w:val="24"/>
          <w:szCs w:val="24"/>
          <w:lang w:eastAsia="nl-NL"/>
        </w:rPr>
        <w:t xml:space="preserve">et dont l’état consolidé du résultat net et des autres éléments du résultat global se solde par un bénéfice </w:t>
      </w:r>
      <w:bookmarkEnd w:id="189"/>
      <w:r w:rsidRPr="008769D6">
        <w:rPr>
          <w:rFonts w:ascii="Times New Roman" w:eastAsia="Times New Roman" w:hAnsi="Times New Roman"/>
          <w:sz w:val="24"/>
          <w:szCs w:val="24"/>
          <w:lang w:eastAsia="nl-NL"/>
        </w:rPr>
        <w:t>[une perte] de l’exercice de € __________.</w:t>
      </w:r>
    </w:p>
    <w:p w:rsidR="00FB1CCA" w:rsidRPr="008769D6" w:rsidRDefault="00FB1CCA" w:rsidP="00FB1CCA">
      <w:pPr>
        <w:spacing w:after="0" w:line="240" w:lineRule="auto"/>
        <w:jc w:val="both"/>
        <w:rPr>
          <w:rFonts w:ascii="Times New Roman" w:hAnsi="Times New Roman"/>
          <w:bCs/>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lang w:bidi="he-IL"/>
        </w:rPr>
      </w:pPr>
      <w:bookmarkStart w:id="190" w:name="_Toc501021599"/>
      <w:bookmarkStart w:id="191" w:name="_Toc505264947"/>
      <w:r w:rsidRPr="008769D6">
        <w:rPr>
          <w:rFonts w:asciiTheme="majorHAnsi" w:eastAsiaTheme="majorEastAsia" w:hAnsiTheme="majorHAnsi" w:cstheme="majorBidi"/>
          <w:b/>
          <w:i/>
          <w:color w:val="2F5496" w:themeColor="accent1" w:themeShade="BF"/>
          <w:sz w:val="24"/>
          <w:szCs w:val="24"/>
          <w:lang w:bidi="he-IL"/>
        </w:rPr>
        <w:lastRenderedPageBreak/>
        <w:t>Fondement de l’opinion sans réserve</w:t>
      </w:r>
      <w:bookmarkEnd w:id="190"/>
      <w:bookmarkEnd w:id="191"/>
      <w:r w:rsidRPr="008769D6">
        <w:rPr>
          <w:rFonts w:asciiTheme="majorHAnsi" w:eastAsiaTheme="majorEastAsia" w:hAnsiTheme="majorHAnsi" w:cstheme="majorBidi"/>
          <w:b/>
          <w:i/>
          <w:color w:val="2F5496" w:themeColor="accent1" w:themeShade="BF"/>
          <w:sz w:val="24"/>
          <w:szCs w:val="24"/>
          <w:lang w:bidi="he-IL"/>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40"/>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rsidR="00FB1CCA" w:rsidRPr="008769D6" w:rsidRDefault="00FB1CCA" w:rsidP="00FB1CCA">
      <w:pPr>
        <w:spacing w:after="0" w:line="240" w:lineRule="auto"/>
        <w:jc w:val="both"/>
        <w:rPr>
          <w:rFonts w:ascii="Times New Roman" w:hAnsi="Times New Roman"/>
          <w:spacing w:val="-4"/>
          <w:kern w:val="8"/>
          <w:sz w:val="24"/>
          <w:szCs w:val="24"/>
          <w:lang w:bidi="he-IL"/>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92" w:name="_Toc501021600"/>
      <w:bookmarkStart w:id="193" w:name="_Toc505264948"/>
      <w:r w:rsidRPr="008769D6">
        <w:rPr>
          <w:rFonts w:asciiTheme="majorHAnsi" w:eastAsiaTheme="majorEastAsia" w:hAnsiTheme="majorHAnsi" w:cstheme="majorBidi"/>
          <w:b/>
          <w:i/>
          <w:color w:val="2F5496" w:themeColor="accent1" w:themeShade="BF"/>
          <w:sz w:val="24"/>
          <w:szCs w:val="24"/>
        </w:rPr>
        <w:t>Responsabilités de l’organe de gestion relatives à l’établissement des comptes consolidés</w:t>
      </w:r>
      <w:bookmarkEnd w:id="192"/>
      <w:bookmarkEnd w:id="193"/>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94" w:name="_Toc501021601"/>
      <w:bookmarkStart w:id="195" w:name="_Toc505264949"/>
      <w:r w:rsidRPr="008769D6">
        <w:rPr>
          <w:rFonts w:asciiTheme="majorHAnsi" w:eastAsiaTheme="majorEastAsia" w:hAnsiTheme="majorHAnsi" w:cstheme="majorBidi"/>
          <w:b/>
          <w:i/>
          <w:color w:val="2F5496" w:themeColor="accent1" w:themeShade="BF"/>
          <w:sz w:val="24"/>
          <w:szCs w:val="24"/>
        </w:rPr>
        <w:t>Responsabilités du commissaire relatives à l’audit des comptes consolidés</w:t>
      </w:r>
      <w:bookmarkEnd w:id="194"/>
      <w:bookmarkEnd w:id="195"/>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lastRenderedPageBreak/>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rsidR="00FB1CCA" w:rsidRPr="008769D6" w:rsidRDefault="00FB1CCA" w:rsidP="00FB1CCA">
      <w:pPr>
        <w:numPr>
          <w:ilvl w:val="0"/>
          <w:numId w:val="26"/>
        </w:numPr>
        <w:spacing w:after="0" w:line="240" w:lineRule="auto"/>
        <w:ind w:left="426"/>
        <w:jc w:val="both"/>
        <w:rPr>
          <w:rFonts w:ascii="Times New Roman" w:hAnsi="Times New Roman"/>
          <w:sz w:val="24"/>
          <w:szCs w:val="24"/>
        </w:rPr>
      </w:pPr>
      <w:r w:rsidRPr="008769D6">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rsidR="00FB1CCA" w:rsidRPr="008769D6" w:rsidRDefault="00FB1CCA" w:rsidP="00FB1CCA">
      <w:pPr>
        <w:spacing w:after="0" w:line="240" w:lineRule="auto"/>
        <w:ind w:left="283"/>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rsidR="00FB1CCA" w:rsidRPr="008769D6" w:rsidRDefault="00FB1CCA" w:rsidP="00FB1CCA">
      <w:pPr>
        <w:spacing w:after="0" w:line="240" w:lineRule="auto"/>
        <w:jc w:val="both"/>
        <w:rPr>
          <w:rFonts w:ascii="Times New Roman" w:hAnsi="Times New Roman"/>
          <w:b/>
          <w:bCs/>
          <w:sz w:val="24"/>
          <w:szCs w:val="24"/>
        </w:rPr>
      </w:pPr>
    </w:p>
    <w:p w:rsidR="00FB1CCA" w:rsidRPr="008769D6" w:rsidRDefault="00FB1CCA" w:rsidP="00FB1CCA">
      <w:pPr>
        <w:keepNext/>
        <w:keepLines/>
        <w:spacing w:before="200" w:after="0" w:line="360" w:lineRule="auto"/>
        <w:jc w:val="both"/>
        <w:outlineLvl w:val="1"/>
        <w:rPr>
          <w:rFonts w:asciiTheme="majorHAnsi" w:eastAsiaTheme="majorEastAsia" w:hAnsiTheme="majorHAnsi" w:cstheme="majorBidi"/>
          <w:b/>
          <w:bCs/>
          <w:color w:val="2F5496" w:themeColor="accent1" w:themeShade="BF"/>
          <w:sz w:val="26"/>
          <w:szCs w:val="26"/>
          <w:lang w:eastAsia="en-GB"/>
        </w:rPr>
      </w:pPr>
      <w:bookmarkStart w:id="196" w:name="_Toc501021602"/>
      <w:bookmarkStart w:id="197" w:name="_Toc505264950"/>
      <w:r w:rsidRPr="008769D6">
        <w:rPr>
          <w:rFonts w:asciiTheme="majorHAnsi" w:eastAsiaTheme="majorEastAsia" w:hAnsiTheme="majorHAnsi" w:cstheme="majorBidi"/>
          <w:b/>
          <w:bCs/>
          <w:color w:val="2F5496" w:themeColor="accent1" w:themeShade="BF"/>
          <w:sz w:val="26"/>
          <w:szCs w:val="26"/>
          <w:lang w:eastAsia="en-GB"/>
        </w:rPr>
        <w:t>Autres obligations légales et réglementaires</w:t>
      </w:r>
      <w:bookmarkEnd w:id="196"/>
      <w:bookmarkEnd w:id="197"/>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198" w:name="_Toc501021603"/>
      <w:bookmarkStart w:id="199" w:name="_Toc505264951"/>
      <w:r w:rsidRPr="008769D6">
        <w:rPr>
          <w:rFonts w:asciiTheme="majorHAnsi" w:eastAsiaTheme="majorEastAsia" w:hAnsiTheme="majorHAnsi" w:cstheme="majorBidi"/>
          <w:b/>
          <w:i/>
          <w:color w:val="2F5496" w:themeColor="accent1" w:themeShade="BF"/>
          <w:sz w:val="24"/>
          <w:szCs w:val="24"/>
        </w:rPr>
        <w:t>Responsabilités de l’organe de gestion</w:t>
      </w:r>
      <w:bookmarkEnd w:id="198"/>
      <w:bookmarkEnd w:id="199"/>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préparation et du contenu du rapport de gestion sur les comptes consolidés [et des autres informations contenues dans le rapport annuel sur les comptes consolidés].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200" w:name="_Toc501021604"/>
      <w:bookmarkStart w:id="201" w:name="_Toc505264952"/>
      <w:r w:rsidRPr="008769D6">
        <w:rPr>
          <w:rFonts w:asciiTheme="majorHAnsi" w:eastAsiaTheme="majorEastAsia" w:hAnsiTheme="majorHAnsi" w:cstheme="majorBidi"/>
          <w:b/>
          <w:i/>
          <w:color w:val="2F5496" w:themeColor="accent1" w:themeShade="BF"/>
          <w:sz w:val="24"/>
          <w:szCs w:val="24"/>
        </w:rPr>
        <w:t>Responsabilités du commissaire</w:t>
      </w:r>
      <w:bookmarkEnd w:id="200"/>
      <w:bookmarkEnd w:id="201"/>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mandat et conformément à la norme belge complémentaire (révisée en 2018) aux normes internationales d’audit (ISA) applicables en Belgique, notre responsabilité </w:t>
      </w:r>
      <w:r w:rsidRPr="008769D6">
        <w:rPr>
          <w:rFonts w:ascii="Times New Roman" w:hAnsi="Times New Roman"/>
          <w:sz w:val="24"/>
          <w:szCs w:val="24"/>
        </w:rPr>
        <w:lastRenderedPageBreak/>
        <w:t>est de vérifier, dans ses[leurs] aspects significatifs, le rapport de gestion sur les comptes consolidés [et les autres informations contenues dans le rapport annuel], ainsi que de faire rapport sur cet élément [ces éléments].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jc w:val="both"/>
        <w:outlineLvl w:val="2"/>
        <w:rPr>
          <w:rFonts w:asciiTheme="majorHAnsi" w:eastAsiaTheme="majorEastAsia" w:hAnsiTheme="majorHAnsi" w:cstheme="majorBidi"/>
          <w:b/>
          <w:i/>
          <w:color w:val="2F5496" w:themeColor="accent1" w:themeShade="BF"/>
          <w:sz w:val="24"/>
          <w:szCs w:val="24"/>
        </w:rPr>
      </w:pPr>
      <w:bookmarkStart w:id="202" w:name="_Toc501021605"/>
      <w:bookmarkStart w:id="203" w:name="_Toc505264953"/>
      <w:r w:rsidRPr="008769D6">
        <w:rPr>
          <w:rFonts w:asciiTheme="majorHAnsi" w:eastAsiaTheme="majorEastAsia" w:hAnsiTheme="majorHAnsi" w:cstheme="majorBidi"/>
          <w:b/>
          <w:i/>
          <w:color w:val="2F5496" w:themeColor="accent1" w:themeShade="BF"/>
          <w:sz w:val="24"/>
          <w:szCs w:val="24"/>
        </w:rPr>
        <w:t>Aspects relatifs au rapport de gestion sur les comptes consolidés [le cas échéant : et aux autres informations contenues dans le rapport annuel sur les comptes consolidés]</w:t>
      </w:r>
      <w:bookmarkEnd w:id="202"/>
      <w:bookmarkEnd w:id="203"/>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119 du Code des sociétés.</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54337F" w:rsidRDefault="00FB1CCA" w:rsidP="00FB1CCA">
      <w:pPr>
        <w:spacing w:after="0" w:line="240" w:lineRule="auto"/>
        <w:jc w:val="both"/>
        <w:rPr>
          <w:rFonts w:ascii="Times New Roman" w:hAnsi="Times New Roman"/>
          <w:i/>
          <w:sz w:val="24"/>
          <w:szCs w:val="24"/>
          <w:highlight w:val="lightGray"/>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w:t>
      </w:r>
      <w:r w:rsidRPr="0054337F">
        <w:rPr>
          <w:rFonts w:ascii="Times New Roman" w:hAnsi="Times New Roman"/>
          <w:i/>
          <w:sz w:val="24"/>
          <w:szCs w:val="24"/>
          <w:highlight w:val="lightGray"/>
        </w:rPr>
        <w:t xml:space="preserve"> sur les comptes consolidés, dans lequel figure son rapport de gestion sur les comptes consolidés</w:t>
      </w:r>
      <w:r w:rsidRPr="0054337F">
        <w:rPr>
          <w:rFonts w:ascii="Times New Roman" w:hAnsi="Times New Roman"/>
          <w:sz w:val="24"/>
          <w:szCs w:val="24"/>
          <w:highlight w:val="lightGray"/>
        </w:rPr>
        <w:t>]</w:t>
      </w:r>
    </w:p>
    <w:p w:rsidR="00FB1CCA" w:rsidRPr="0054337F" w:rsidRDefault="00FB1CCA" w:rsidP="00FB1CCA">
      <w:pPr>
        <w:spacing w:after="0" w:line="240" w:lineRule="auto"/>
        <w:jc w:val="both"/>
        <w:rPr>
          <w:rFonts w:ascii="Times New Roman" w:hAnsi="Times New Roman"/>
          <w:sz w:val="24"/>
          <w:szCs w:val="24"/>
        </w:rPr>
      </w:pPr>
      <w:r w:rsidRPr="0054337F">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54337F">
        <w:rPr>
          <w:rFonts w:ascii="Times New Roman" w:hAnsi="Times New Roman"/>
          <w:sz w:val="24"/>
          <w:szCs w:val="24"/>
          <w:vertAlign w:val="superscript"/>
        </w:rPr>
        <w:footnoteReference w:id="41"/>
      </w:r>
      <w:r w:rsidRPr="0054337F">
        <w:rPr>
          <w:rFonts w:ascii="Times New Roman" w:hAnsi="Times New Roman"/>
          <w:sz w:val="24"/>
          <w:szCs w:val="24"/>
        </w:rPr>
        <w:t> :</w:t>
      </w:r>
    </w:p>
    <w:p w:rsidR="00FB1CCA" w:rsidRPr="0054337F" w:rsidRDefault="00FB1CCA" w:rsidP="00FB1CCA">
      <w:pPr>
        <w:spacing w:after="0" w:line="240" w:lineRule="auto"/>
        <w:jc w:val="both"/>
        <w:rPr>
          <w:rFonts w:ascii="Times New Roman" w:hAnsi="Times New Roman"/>
          <w:sz w:val="24"/>
          <w:szCs w:val="24"/>
        </w:rPr>
      </w:pPr>
      <w:r w:rsidRPr="0054337F">
        <w:rPr>
          <w:rFonts w:ascii="Times New Roman" w:hAnsi="Times New Roman"/>
          <w:sz w:val="24"/>
          <w:szCs w:val="24"/>
        </w:rPr>
        <w:t>- [</w:t>
      </w:r>
      <w:r w:rsidRPr="0054337F">
        <w:rPr>
          <w:rFonts w:ascii="Times New Roman" w:hAnsi="Times New Roman"/>
          <w:sz w:val="24"/>
          <w:szCs w:val="24"/>
          <w:highlight w:val="lightGray"/>
        </w:rPr>
        <w:t>à compléter</w:t>
      </w:r>
      <w:r w:rsidRPr="0054337F">
        <w:rPr>
          <w:rFonts w:ascii="Times New Roman" w:hAnsi="Times New Roman"/>
          <w:sz w:val="24"/>
          <w:szCs w:val="24"/>
        </w:rPr>
        <w:t>]</w:t>
      </w:r>
      <w:r w:rsidRPr="0054337F">
        <w:rPr>
          <w:rFonts w:ascii="Times New Roman" w:hAnsi="Times New Roman"/>
          <w:sz w:val="24"/>
          <w:szCs w:val="24"/>
          <w:highlight w:val="lightGray"/>
          <w:vertAlign w:val="superscript"/>
        </w:rPr>
        <w:t xml:space="preserve"> [</w:t>
      </w:r>
      <w:r w:rsidRPr="0054337F">
        <w:rPr>
          <w:rFonts w:ascii="Times New Roman" w:hAnsi="Times New Roman"/>
          <w:sz w:val="24"/>
          <w:szCs w:val="24"/>
          <w:highlight w:val="lightGray"/>
          <w:vertAlign w:val="superscript"/>
        </w:rPr>
        <w:footnoteReference w:id="42"/>
      </w:r>
      <w:r w:rsidRPr="0054337F">
        <w:rPr>
          <w:rFonts w:ascii="Times New Roman" w:hAnsi="Times New Roman"/>
          <w:sz w:val="24"/>
          <w:szCs w:val="24"/>
          <w:vertAlign w:val="superscript"/>
        </w:rPr>
        <w:t>]</w:t>
      </w:r>
    </w:p>
    <w:p w:rsidR="00FB1CCA" w:rsidRPr="0054337F" w:rsidRDefault="00FB1CCA" w:rsidP="00FB1CCA">
      <w:pPr>
        <w:spacing w:after="0" w:line="240" w:lineRule="auto"/>
        <w:jc w:val="both"/>
        <w:rPr>
          <w:rFonts w:ascii="Times New Roman" w:hAnsi="Times New Roman"/>
          <w:sz w:val="24"/>
          <w:szCs w:val="24"/>
        </w:rPr>
      </w:pPr>
      <w:r w:rsidRPr="0054337F">
        <w:rPr>
          <w:rFonts w:ascii="Times New Roman" w:hAnsi="Times New Roman"/>
          <w:sz w:val="24"/>
          <w:szCs w:val="24"/>
        </w:rPr>
        <w:t>- …</w:t>
      </w:r>
    </w:p>
    <w:p w:rsidR="00FB1CCA" w:rsidRPr="0054337F" w:rsidRDefault="00FB1CCA" w:rsidP="00FB1CCA">
      <w:pPr>
        <w:spacing w:after="0" w:line="240" w:lineRule="auto"/>
        <w:jc w:val="both"/>
        <w:rPr>
          <w:rFonts w:ascii="Times New Roman" w:hAnsi="Times New Roman"/>
          <w:sz w:val="24"/>
          <w:szCs w:val="24"/>
        </w:rPr>
      </w:pPr>
      <w:r w:rsidRPr="0054337F">
        <w:rPr>
          <w:rFonts w:ascii="Times New Roman" w:hAnsi="Times New Roman"/>
          <w:sz w:val="24"/>
          <w:szCs w:val="24"/>
        </w:rPr>
        <w:lastRenderedPageBreak/>
        <w:t xml:space="preserve">comportent une anomalie significative, à savoir une information incorrectement formulée ou autrement trompeuse. Sur la base de ces travaux, nous n’avons pas d’anomalie significative à vous communiquer. </w:t>
      </w:r>
    </w:p>
    <w:p w:rsidR="00FB1CCA" w:rsidRPr="0054337F" w:rsidRDefault="00FB1CCA" w:rsidP="00FB1CCA">
      <w:pPr>
        <w:spacing w:after="0" w:line="240" w:lineRule="auto"/>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204" w:name="_Toc501021606"/>
      <w:bookmarkStart w:id="205" w:name="_Toc505264954"/>
      <w:r w:rsidRPr="008769D6">
        <w:rPr>
          <w:rFonts w:asciiTheme="majorHAnsi" w:eastAsiaTheme="majorEastAsia" w:hAnsiTheme="majorHAnsi" w:cstheme="majorBidi"/>
          <w:b/>
          <w:i/>
          <w:color w:val="2F5496" w:themeColor="accent1" w:themeShade="BF"/>
          <w:sz w:val="24"/>
          <w:szCs w:val="24"/>
        </w:rPr>
        <w:t>Mentions relatives à l’indépendance</w:t>
      </w:r>
      <w:bookmarkEnd w:id="204"/>
      <w:bookmarkEnd w:id="205"/>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sidRPr="008769D6">
        <w:rPr>
          <w:rFonts w:ascii="Times New Roman" w:hAnsi="Times New Roman"/>
          <w:sz w:val="24"/>
          <w:szCs w:val="24"/>
          <w:vertAlign w:val="superscript"/>
        </w:rPr>
        <w:footnoteReference w:id="43"/>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ventilés et valorisés dans les annexes aux comptes consolidés.</w:t>
      </w:r>
      <w:r>
        <w:rPr>
          <w:rFonts w:ascii="Times New Roman" w:hAnsi="Times New Roman"/>
          <w:sz w:val="24"/>
          <w:szCs w:val="24"/>
        </w:rPr>
        <w:t>]</w:t>
      </w:r>
    </w:p>
    <w:p w:rsidR="00FB1CCA" w:rsidRPr="008769D6" w:rsidRDefault="00FB1CCA" w:rsidP="00FB1CCA">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rsidR="00FB1CCA" w:rsidRPr="008769D6" w:rsidRDefault="00FB1CCA" w:rsidP="00FB1CCA">
      <w:pPr>
        <w:numPr>
          <w:ilvl w:val="0"/>
          <w:numId w:val="7"/>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les annexes aux comptes annuels, nous vous précisons que ceux-ci devraient être valorisés et/ou ventilés comme suit [référence aux comptes consolidés] [type de mission] [montants].</w:t>
      </w:r>
      <w:r>
        <w:rPr>
          <w:rFonts w:ascii="Times New Roman" w:hAnsi="Times New Roman"/>
          <w:sz w:val="24"/>
          <w:szCs w:val="24"/>
        </w:rPr>
        <w:t>]</w:t>
      </w:r>
    </w:p>
    <w:p w:rsidR="00FB1CCA" w:rsidRPr="008769D6" w:rsidRDefault="00FB1CCA" w:rsidP="00FB1CCA">
      <w:pPr>
        <w:spacing w:after="0" w:line="240" w:lineRule="auto"/>
        <w:jc w:val="both"/>
        <w:rPr>
          <w:rFonts w:ascii="Times New Roman" w:hAnsi="Times New Roman"/>
          <w:sz w:val="24"/>
          <w:szCs w:val="24"/>
        </w:rPr>
      </w:pPr>
    </w:p>
    <w:p w:rsidR="00FB1CCA" w:rsidRPr="008769D6" w:rsidRDefault="00FB1CCA" w:rsidP="00FB1CCA">
      <w:pPr>
        <w:keepNext/>
        <w:keepLines/>
        <w:spacing w:before="40" w:after="0" w:line="360" w:lineRule="auto"/>
        <w:outlineLvl w:val="2"/>
        <w:rPr>
          <w:rFonts w:asciiTheme="majorHAnsi" w:eastAsiaTheme="majorEastAsia" w:hAnsiTheme="majorHAnsi" w:cstheme="majorBidi"/>
          <w:b/>
          <w:i/>
          <w:color w:val="2F5496" w:themeColor="accent1" w:themeShade="BF"/>
          <w:sz w:val="24"/>
          <w:szCs w:val="24"/>
        </w:rPr>
      </w:pPr>
      <w:bookmarkStart w:id="206" w:name="_Toc501021607"/>
      <w:bookmarkStart w:id="207" w:name="_Toc505264955"/>
      <w:r w:rsidRPr="008769D6">
        <w:rPr>
          <w:rFonts w:asciiTheme="majorHAnsi" w:eastAsiaTheme="majorEastAsia" w:hAnsiTheme="majorHAnsi" w:cstheme="majorBidi"/>
          <w:b/>
          <w:i/>
          <w:color w:val="2F5496" w:themeColor="accent1" w:themeShade="BF"/>
          <w:sz w:val="24"/>
          <w:szCs w:val="24"/>
        </w:rPr>
        <w:t>Autres mentions</w:t>
      </w:r>
      <w:bookmarkEnd w:id="206"/>
      <w:bookmarkEnd w:id="207"/>
    </w:p>
    <w:p w:rsidR="00FB1CCA" w:rsidRPr="008769D6" w:rsidRDefault="00FB1CCA" w:rsidP="00FB1CCA">
      <w:pPr>
        <w:numPr>
          <w:ilvl w:val="0"/>
          <w:numId w:val="7"/>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insérer un paragraphe]</w:t>
      </w:r>
    </w:p>
    <w:p w:rsidR="00FB1CCA" w:rsidRPr="008769D6" w:rsidRDefault="00FB1CCA" w:rsidP="00FB1CCA">
      <w:pPr>
        <w:spacing w:after="0" w:line="240" w:lineRule="auto"/>
        <w:ind w:left="360"/>
        <w:jc w:val="both"/>
        <w:rPr>
          <w:rFonts w:ascii="Times New Roman" w:hAnsi="Times New Roman"/>
          <w:sz w:val="24"/>
          <w:szCs w:val="24"/>
        </w:rPr>
      </w:pP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Cabinet de révision XYZ,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rsidR="00FB1CCA" w:rsidRPr="008769D6" w:rsidRDefault="00FB1CCA" w:rsidP="00FB1CCA">
      <w:pPr>
        <w:spacing w:after="0" w:line="240" w:lineRule="auto"/>
        <w:jc w:val="both"/>
        <w:rPr>
          <w:rFonts w:ascii="Times New Roman" w:hAnsi="Times New Roman"/>
          <w:sz w:val="24"/>
          <w:szCs w:val="24"/>
        </w:rPr>
      </w:pPr>
      <w:r w:rsidRPr="008769D6">
        <w:rPr>
          <w:rFonts w:ascii="Times New Roman" w:hAnsi="Times New Roman"/>
          <w:sz w:val="24"/>
          <w:szCs w:val="24"/>
        </w:rPr>
        <w:t>Nom</w:t>
      </w:r>
    </w:p>
    <w:p w:rsidR="00FB1CCA" w:rsidRPr="008769D6" w:rsidRDefault="00FB1CCA" w:rsidP="00FB1CCA">
      <w:pPr>
        <w:spacing w:after="0" w:line="240" w:lineRule="auto"/>
        <w:jc w:val="both"/>
        <w:rPr>
          <w:rFonts w:ascii="Times New Roman" w:hAnsi="Times New Roman"/>
          <w:b/>
          <w:sz w:val="24"/>
          <w:szCs w:val="24"/>
        </w:rPr>
      </w:pPr>
      <w:r w:rsidRPr="008769D6">
        <w:rPr>
          <w:rFonts w:ascii="Times New Roman" w:hAnsi="Times New Roman"/>
          <w:sz w:val="24"/>
          <w:szCs w:val="24"/>
        </w:rPr>
        <w:t>Réviseur d’entreprise</w:t>
      </w:r>
      <w:bookmarkEnd w:id="184"/>
      <w:r w:rsidRPr="008769D6">
        <w:rPr>
          <w:rFonts w:ascii="Times New Roman" w:hAnsi="Times New Roman"/>
          <w:sz w:val="24"/>
          <w:szCs w:val="24"/>
        </w:rPr>
        <w:t>s</w:t>
      </w:r>
    </w:p>
    <w:p w:rsidR="00FB1CCA" w:rsidRPr="008769D6" w:rsidRDefault="00FB1CCA" w:rsidP="00FB1CCA">
      <w:pPr>
        <w:jc w:val="both"/>
      </w:pPr>
    </w:p>
    <w:p w:rsidR="00FB1CCA" w:rsidRPr="008769D6" w:rsidRDefault="00FB1CCA" w:rsidP="00FB1CCA">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F5496" w:themeColor="accent1" w:themeShade="BF"/>
          <w:sz w:val="32"/>
          <w:szCs w:val="32"/>
        </w:rPr>
      </w:pPr>
      <w:bookmarkStart w:id="208" w:name="Annexe_7"/>
      <w:bookmarkStart w:id="209" w:name="_Toc505264956"/>
      <w:r w:rsidRPr="008769D6">
        <w:rPr>
          <w:rFonts w:asciiTheme="majorHAnsi" w:eastAsiaTheme="majorEastAsia" w:hAnsiTheme="majorHAnsi" w:cstheme="majorBidi"/>
          <w:color w:val="2F5496" w:themeColor="accent1" w:themeShade="BF"/>
          <w:sz w:val="32"/>
          <w:szCs w:val="32"/>
        </w:rPr>
        <w:t>ANNEXE 7</w:t>
      </w:r>
      <w:bookmarkEnd w:id="208"/>
      <w:r w:rsidRPr="008769D6">
        <w:rPr>
          <w:rFonts w:asciiTheme="majorHAnsi" w:eastAsiaTheme="majorEastAsia" w:hAnsiTheme="majorHAnsi" w:cstheme="majorBidi"/>
          <w:color w:val="2F5496" w:themeColor="accent1" w:themeShade="BF"/>
          <w:sz w:val="32"/>
          <w:szCs w:val="32"/>
        </w:rPr>
        <w:t xml:space="preserve"> – MODELE DE RAPPORT DE CARENCE</w:t>
      </w:r>
      <w:bookmarkEnd w:id="209"/>
      <w:r w:rsidRPr="008769D6">
        <w:rPr>
          <w:rFonts w:asciiTheme="majorHAnsi" w:eastAsiaTheme="majorEastAsia" w:hAnsiTheme="majorHAnsi" w:cstheme="majorBidi"/>
          <w:color w:val="2F5496" w:themeColor="accent1" w:themeShade="BF"/>
          <w:sz w:val="32"/>
          <w:szCs w:val="32"/>
          <w:vertAlign w:val="superscript"/>
        </w:rPr>
        <w:footnoteReference w:id="44"/>
      </w:r>
    </w:p>
    <w:p w:rsidR="00FB1CCA" w:rsidRPr="008769D6" w:rsidRDefault="00FB1CCA" w:rsidP="00FB1CCA"/>
    <w:p w:rsidR="00FB1CCA" w:rsidRPr="008769D6" w:rsidRDefault="00FB1CCA" w:rsidP="00FB1CCA">
      <w:pPr>
        <w:spacing w:line="240" w:lineRule="auto"/>
        <w:jc w:val="center"/>
        <w:rPr>
          <w:rFonts w:ascii="Times New Roman" w:hAnsi="Times New Roman"/>
          <w:b/>
          <w:caps/>
          <w:sz w:val="24"/>
          <w:szCs w:val="24"/>
        </w:rPr>
      </w:pPr>
      <w:bookmarkStart w:id="210" w:name="_Hlk506219098"/>
      <w:r w:rsidRPr="008769D6">
        <w:rPr>
          <w:rFonts w:ascii="Times New Roman" w:hAnsi="Times New Roman"/>
          <w:b/>
          <w:caps/>
          <w:sz w:val="24"/>
          <w:szCs w:val="24"/>
        </w:rPr>
        <w:t>Rapport de carence, etabli par le commissaire, DESTINE A L’ASSEMBLEE GENERALE DE [LA société _____] POUR l’exercice clos le __ ________ 20__</w:t>
      </w:r>
    </w:p>
    <w:p w:rsidR="00FB1CCA" w:rsidRPr="008769D6" w:rsidRDefault="00FB1CCA" w:rsidP="00FB1CCA">
      <w:pPr>
        <w:spacing w:line="240" w:lineRule="auto"/>
        <w:jc w:val="center"/>
        <w:rPr>
          <w:rFonts w:ascii="Times New Roman" w:hAnsi="Times New Roman"/>
          <w:b/>
          <w:caps/>
          <w:sz w:val="24"/>
          <w:szCs w:val="24"/>
        </w:rPr>
      </w:pPr>
    </w:p>
    <w:p w:rsidR="00FB1CCA" w:rsidRPr="008769D6" w:rsidRDefault="00FB1CCA" w:rsidP="00FB1CCA">
      <w:pPr>
        <w:spacing w:line="240" w:lineRule="auto"/>
        <w:jc w:val="both"/>
        <w:rPr>
          <w:rFonts w:ascii="Times New Roman" w:hAnsi="Times New Roman"/>
          <w:sz w:val="24"/>
          <w:szCs w:val="24"/>
        </w:rPr>
      </w:pPr>
      <w:r w:rsidRPr="008769D6">
        <w:rPr>
          <w:rFonts w:ascii="Times New Roman" w:hAnsi="Times New Roman"/>
          <w:sz w:val="24"/>
          <w:szCs w:val="24"/>
        </w:rPr>
        <w:lastRenderedPageBreak/>
        <w:t>Dans le cadre du contrôle légal des comptes annuels de votre société, nous vous faisons rapport dans le cadre de notre mandat de commissaire [</w:t>
      </w:r>
      <w:r w:rsidRPr="008769D6">
        <w:rPr>
          <w:rFonts w:ascii="Times New Roman" w:hAnsi="Times New Roman"/>
          <w:i/>
          <w:iCs/>
          <w:sz w:val="24"/>
          <w:szCs w:val="24"/>
        </w:rPr>
        <w:t>le cas échéant :</w:t>
      </w:r>
      <w:r w:rsidRPr="008769D6">
        <w:rPr>
          <w:rFonts w:ascii="Times New Roman" w:hAnsi="Times New Roman"/>
          <w:sz w:val="24"/>
          <w:szCs w:val="24"/>
        </w:rPr>
        <w:t xml:space="preserve"> de réviseur d’entreprises désigné par le président du tribunal de commerce], </w:t>
      </w:r>
      <w:r w:rsidRPr="008769D6">
        <w:rPr>
          <w:rFonts w:ascii="Times New Roman" w:hAnsi="Times New Roman"/>
          <w:sz w:val="24"/>
        </w:rPr>
        <w:t>en application de l'article 143, deuxième alinéa, du Code des sociétés</w:t>
      </w:r>
      <w:r w:rsidRPr="008769D6">
        <w:rPr>
          <w:rFonts w:ascii="Times New Roman" w:hAnsi="Times New Roman"/>
          <w:sz w:val="24"/>
          <w:szCs w:val="24"/>
        </w:rPr>
        <w:t>.</w:t>
      </w:r>
    </w:p>
    <w:p w:rsidR="00FB1CCA" w:rsidRPr="008769D6" w:rsidRDefault="00FB1CCA" w:rsidP="00FB1CCA">
      <w:pPr>
        <w:spacing w:line="240" w:lineRule="auto"/>
        <w:jc w:val="both"/>
        <w:rPr>
          <w:rFonts w:ascii="Times New Roman" w:hAnsi="Times New Roman"/>
          <w:sz w:val="24"/>
          <w:szCs w:val="24"/>
        </w:rPr>
      </w:pPr>
      <w:r w:rsidRPr="008769D6">
        <w:rPr>
          <w:rFonts w:ascii="Times New Roman" w:hAnsi="Times New Roman"/>
          <w:sz w:val="24"/>
        </w:rPr>
        <w:t xml:space="preserve">Nous constatons, </w:t>
      </w:r>
      <w:r w:rsidRPr="008769D6">
        <w:rPr>
          <w:rFonts w:ascii="Times New Roman" w:hAnsi="Times New Roman"/>
          <w:sz w:val="24"/>
          <w:szCs w:val="24"/>
        </w:rPr>
        <w:t>à la date du présent rapport, que nous n’avons pas encore reçu les comptes annuels clôturés par l’organe de gestion</w:t>
      </w:r>
      <w:r w:rsidRPr="008769D6">
        <w:rPr>
          <w:rFonts w:ascii="Times New Roman" w:hAnsi="Times New Roman"/>
          <w:sz w:val="24"/>
          <w:szCs w:val="24"/>
          <w:vertAlign w:val="superscript"/>
        </w:rPr>
        <w:footnoteReference w:id="45"/>
      </w:r>
      <w:r w:rsidRPr="008769D6">
        <w:rPr>
          <w:rFonts w:ascii="Times New Roman" w:hAnsi="Times New Roman"/>
          <w:sz w:val="24"/>
          <w:szCs w:val="24"/>
        </w:rPr>
        <w:t>. Nous ne sommes, par conséquent, pas en mesure d’établir notre rapport de commissaire destiné à l’assemblé générale ni de respecter les délais prescrits par le Code des sociétés en rapport avec sa mise à disposition.</w:t>
      </w:r>
    </w:p>
    <w:p w:rsidR="00FB1CCA" w:rsidRPr="008769D6" w:rsidRDefault="00FB1CCA" w:rsidP="00FB1CCA">
      <w:pPr>
        <w:spacing w:line="240" w:lineRule="auto"/>
        <w:jc w:val="both"/>
        <w:rPr>
          <w:rFonts w:ascii="Times New Roman" w:hAnsi="Times New Roman"/>
          <w:sz w:val="24"/>
          <w:szCs w:val="24"/>
        </w:rPr>
      </w:pPr>
      <w:r w:rsidRPr="008769D6">
        <w:rPr>
          <w:rFonts w:ascii="Times New Roman" w:hAnsi="Times New Roman"/>
          <w:sz w:val="24"/>
          <w:szCs w:val="24"/>
        </w:rPr>
        <w:t xml:space="preserve">Nous avons rappelé à l’organe de gestion l’obligation légale relative aux délais fixés par le Code des sociétés pour la remise au commissaire et aux actionnaires des documents requis. </w:t>
      </w:r>
    </w:p>
    <w:p w:rsidR="00FB1CCA" w:rsidRPr="0054337F" w:rsidRDefault="00FB1CCA" w:rsidP="00FB1CCA">
      <w:pPr>
        <w:spacing w:line="240" w:lineRule="auto"/>
        <w:jc w:val="both"/>
        <w:rPr>
          <w:rFonts w:ascii="Times New Roman" w:hAnsi="Times New Roman"/>
          <w:sz w:val="24"/>
          <w:szCs w:val="24"/>
        </w:rPr>
      </w:pPr>
      <w:r w:rsidRPr="008769D6">
        <w:rPr>
          <w:rFonts w:ascii="Times New Roman" w:hAnsi="Times New Roman"/>
          <w:sz w:val="24"/>
        </w:rPr>
        <w:t>Le présent rapport n'est pas le rapport du commissaire visé par les articles 143, premier alinéa, et 144 du Code des sociétés et ne peut être utilisé pour répondre à l'exigence de l'article 100, §1, 4° du Code des sociétés.</w:t>
      </w:r>
      <w:r w:rsidRPr="0054337F">
        <w:rPr>
          <w:rFonts w:ascii="Times New Roman" w:hAnsi="Times New Roman"/>
          <w:sz w:val="24"/>
        </w:rPr>
        <w:t xml:space="preserve"> </w:t>
      </w:r>
    </w:p>
    <w:bookmarkEnd w:id="210"/>
    <w:p w:rsidR="00FB1CCA" w:rsidRPr="0054337F" w:rsidRDefault="00FB1CCA" w:rsidP="00FB1CCA"/>
    <w:p w:rsidR="00900050" w:rsidRDefault="009D753D"/>
    <w:sectPr w:rsidR="009000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3D" w:rsidRDefault="009D753D" w:rsidP="00FB1CCA">
      <w:pPr>
        <w:spacing w:after="0" w:line="240" w:lineRule="auto"/>
      </w:pPr>
      <w:r>
        <w:separator/>
      </w:r>
    </w:p>
  </w:endnote>
  <w:endnote w:type="continuationSeparator" w:id="0">
    <w:p w:rsidR="009D753D" w:rsidRDefault="009D753D" w:rsidP="00FB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27071745"/>
      <w:docPartObj>
        <w:docPartGallery w:val="Page Numbers (Bottom of Page)"/>
        <w:docPartUnique/>
      </w:docPartObj>
    </w:sdtPr>
    <w:sdtEndPr>
      <w:rPr>
        <w:noProof/>
      </w:rPr>
    </w:sdtEndPr>
    <w:sdtContent>
      <w:p w:rsidR="00FB1CCA" w:rsidRPr="00FB1CCA" w:rsidRDefault="00FB1CCA">
        <w:pPr>
          <w:pStyle w:val="Voettekst"/>
          <w:rPr>
            <w:rFonts w:ascii="Times New Roman" w:hAnsi="Times New Roman"/>
            <w:sz w:val="20"/>
            <w:szCs w:val="20"/>
          </w:rPr>
        </w:pPr>
        <w:r>
          <w:rPr>
            <w:rFonts w:ascii="Times New Roman" w:hAnsi="Times New Roman"/>
            <w:sz w:val="20"/>
            <w:szCs w:val="20"/>
          </w:rPr>
          <w:t>Approuvé par le CSPE 20.07.2018</w:t>
        </w:r>
        <w:r>
          <w:rPr>
            <w:rFonts w:ascii="Times New Roman" w:hAnsi="Times New Roman"/>
            <w:sz w:val="20"/>
            <w:szCs w:val="20"/>
          </w:rPr>
          <w:tab/>
        </w:r>
        <w:r>
          <w:rPr>
            <w:rFonts w:ascii="Times New Roman" w:hAnsi="Times New Roman"/>
            <w:sz w:val="20"/>
            <w:szCs w:val="20"/>
          </w:rPr>
          <w:tab/>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PAGE   \* MERGEFORMAT </w:instrText>
        </w:r>
        <w:r w:rsidRPr="00484B4D">
          <w:rPr>
            <w:rFonts w:ascii="Times New Roman" w:hAnsi="Times New Roman"/>
            <w:noProof/>
            <w:sz w:val="20"/>
            <w:szCs w:val="20"/>
          </w:rPr>
          <w:fldChar w:fldCharType="separate"/>
        </w:r>
        <w:r>
          <w:rPr>
            <w:rFonts w:ascii="Times New Roman" w:hAnsi="Times New Roman"/>
            <w:noProof/>
            <w:sz w:val="20"/>
            <w:szCs w:val="20"/>
          </w:rPr>
          <w:t>90</w:t>
        </w:r>
        <w:r w:rsidRPr="00484B4D">
          <w:rPr>
            <w:rFonts w:ascii="Times New Roman" w:hAnsi="Times New Roman"/>
            <w:noProof/>
            <w:sz w:val="20"/>
            <w:szCs w:val="20"/>
          </w:rPr>
          <w:fldChar w:fldCharType="end"/>
        </w:r>
        <w:r w:rsidRPr="00484B4D">
          <w:rPr>
            <w:rFonts w:ascii="Times New Roman" w:hAnsi="Times New Roman"/>
            <w:noProof/>
            <w:sz w:val="20"/>
            <w:szCs w:val="20"/>
          </w:rPr>
          <w:t>/</w:t>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NUMPAGES   \* MERGEFORMAT </w:instrText>
        </w:r>
        <w:r w:rsidRPr="00484B4D">
          <w:rPr>
            <w:rFonts w:ascii="Times New Roman" w:hAnsi="Times New Roman"/>
            <w:noProof/>
            <w:sz w:val="20"/>
            <w:szCs w:val="20"/>
          </w:rPr>
          <w:fldChar w:fldCharType="separate"/>
        </w:r>
        <w:r>
          <w:rPr>
            <w:rFonts w:ascii="Times New Roman" w:hAnsi="Times New Roman"/>
            <w:noProof/>
            <w:sz w:val="20"/>
            <w:szCs w:val="20"/>
          </w:rPr>
          <w:t>90</w:t>
        </w:r>
        <w:r w:rsidRPr="00484B4D">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3D" w:rsidRDefault="009D753D" w:rsidP="00FB1CCA">
      <w:pPr>
        <w:spacing w:after="0" w:line="240" w:lineRule="auto"/>
      </w:pPr>
      <w:r>
        <w:separator/>
      </w:r>
    </w:p>
  </w:footnote>
  <w:footnote w:type="continuationSeparator" w:id="0">
    <w:p w:rsidR="009D753D" w:rsidRDefault="009D753D" w:rsidP="00FB1CCA">
      <w:pPr>
        <w:spacing w:after="0" w:line="240" w:lineRule="auto"/>
      </w:pPr>
      <w:r>
        <w:continuationSeparator/>
      </w:r>
    </w:p>
  </w:footnote>
  <w:footnote w:id="1">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Sont visées toutes les entités visées par la loi du 27 juin 1921 sur les associations sans but lucratif, les fondations, les partis politiques européens et les fondations politiques européennes.</w:t>
      </w:r>
    </w:p>
  </w:footnote>
  <w:footnote w:id="2">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3">
    <w:p w:rsidR="00FB1CCA" w:rsidRPr="008769D6" w:rsidRDefault="00FB1CCA" w:rsidP="00FB1CCA">
      <w:pPr>
        <w:pStyle w:val="Voetnoottekst"/>
        <w:jc w:val="both"/>
        <w:rPr>
          <w:i/>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p>
  </w:footnote>
  <w:footnote w:id="4">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5">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bookmarkStart w:id="34" w:name="_Hlk508716075"/>
      <w:r w:rsidRPr="008769D6">
        <w:rPr>
          <w:lang w:val="fr-BE"/>
        </w:rPr>
        <w:t xml:space="preserve">Le par. </w:t>
      </w:r>
      <w:r>
        <w:rPr>
          <w:lang w:val="fr-BE"/>
        </w:rPr>
        <w:t>42</w:t>
      </w:r>
      <w:r w:rsidRPr="008769D6">
        <w:rPr>
          <w:lang w:val="fr-BE"/>
        </w:rPr>
        <w:t xml:space="preserve"> de la norme complémentaire (révisée en 2018):  « </w:t>
      </w:r>
      <w:r w:rsidRPr="008769D6">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8769D6">
        <w:rPr>
          <w:lang w:val="fr-BE"/>
        </w:rPr>
        <w:t xml:space="preserve"> » </w:t>
      </w:r>
      <w:bookmarkEnd w:id="34"/>
    </w:p>
  </w:footnote>
  <w:footnote w:id="6">
    <w:p w:rsidR="00FB1CCA" w:rsidRPr="008769D6" w:rsidRDefault="00FB1CCA" w:rsidP="00FB1CCA">
      <w:pPr>
        <w:pStyle w:val="Voetnoottekst"/>
        <w:jc w:val="both"/>
        <w:rPr>
          <w:lang w:val="fr-BE"/>
        </w:rPr>
      </w:pPr>
      <w:r w:rsidRPr="008769D6">
        <w:rPr>
          <w:lang w:val="fr-BE"/>
        </w:rPr>
        <w:t>[</w:t>
      </w:r>
      <w:r w:rsidRPr="008769D6">
        <w:rPr>
          <w:rStyle w:val="Voetnootmarkering"/>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8769D6" w:rsidRDefault="00FB1CCA" w:rsidP="00FB1CCA">
      <w:pPr>
        <w:pStyle w:val="Voetnootteks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7">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8">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p>
  </w:footnote>
  <w:footnote w:id="9">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10">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11">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12">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par. </w:t>
      </w:r>
      <w:r>
        <w:rPr>
          <w:lang w:val="fr-BE"/>
        </w:rPr>
        <w:t>42</w:t>
      </w:r>
      <w:r w:rsidRPr="008769D6">
        <w:rPr>
          <w:lang w:val="fr-BE"/>
        </w:rPr>
        <w:t xml:space="preserve"> de la norme complémentaire (révisée en 2018): « </w:t>
      </w:r>
      <w:r w:rsidRPr="008769D6">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8769D6">
        <w:rPr>
          <w:lang w:val="fr-BE"/>
        </w:rPr>
        <w:t>»</w:t>
      </w:r>
    </w:p>
  </w:footnote>
  <w:footnote w:id="13">
    <w:p w:rsidR="00FB1CCA" w:rsidRPr="008769D6" w:rsidRDefault="00FB1CCA" w:rsidP="00FB1CCA">
      <w:pPr>
        <w:pStyle w:val="Voetnoottekst"/>
        <w:jc w:val="both"/>
        <w:rPr>
          <w:lang w:val="fr-BE"/>
        </w:rPr>
      </w:pPr>
      <w:r w:rsidRPr="008769D6">
        <w:rPr>
          <w:lang w:val="fr-BE"/>
        </w:rPr>
        <w:t>[</w:t>
      </w:r>
      <w:r w:rsidRPr="008769D6">
        <w:rPr>
          <w:rStyle w:val="Voetnootmarkering"/>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8769D6" w:rsidRDefault="00FB1CCA" w:rsidP="00FB1CCA">
      <w:pPr>
        <w:pStyle w:val="Voetnoottekst"/>
        <w:jc w:val="both"/>
        <w:rPr>
          <w:lang w:val="fr-BE"/>
        </w:rPr>
      </w:pPr>
      <w:r w:rsidRPr="008769D6">
        <w:rPr>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financier annuel </w:t>
      </w:r>
      <w:bookmarkStart w:id="79" w:name="_Hlk518283999"/>
      <w:r w:rsidRPr="008769D6">
        <w:rPr>
          <w:lang w:val="fr-BE"/>
        </w:rPr>
        <w:t>au sens de l’article 12, § 2 de l’arrêté royal du 14 novembre 2007 relatif aux obligations des émetteurs d’instruments financiers admis à la négociation sur un marché réglementé</w:t>
      </w:r>
      <w:bookmarkEnd w:id="79"/>
      <w:r w:rsidRPr="008769D6">
        <w:rPr>
          <w:lang w:val="fr-BE"/>
        </w:rPr>
        <w:t>.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p>
  </w:footnote>
  <w:footnote w:id="14">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15">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8769D6" w:rsidDel="00A16107">
        <w:rPr>
          <w:lang w:val="fr-BE"/>
        </w:rPr>
        <w:t xml:space="preserve"> </w:t>
      </w:r>
      <w:r w:rsidRPr="008769D6">
        <w:rPr>
          <w:lang w:val="fr-BE"/>
        </w:rPr>
        <w:t>: « </w:t>
      </w:r>
      <w:r w:rsidRPr="008769D6">
        <w:rPr>
          <w:i/>
          <w:lang w:val="fr-BE"/>
        </w:rPr>
        <w:t>Nous sommes en place depuis au moins [X] années. »</w:t>
      </w:r>
    </w:p>
  </w:footnote>
  <w:footnote w:id="16">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17">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par. </w:t>
      </w:r>
      <w:r>
        <w:rPr>
          <w:lang w:val="fr-BE"/>
        </w:rPr>
        <w:t>42</w:t>
      </w:r>
      <w:r w:rsidRPr="008769D6">
        <w:rPr>
          <w:lang w:val="fr-BE"/>
        </w:rPr>
        <w:t xml:space="preserve"> de la norme complémentaire (révisée en 2018): « </w:t>
      </w:r>
      <w:r w:rsidRPr="008769D6">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8769D6">
        <w:rPr>
          <w:lang w:val="fr-BE"/>
        </w:rPr>
        <w:t>»</w:t>
      </w:r>
    </w:p>
  </w:footnote>
  <w:footnote w:id="18">
    <w:p w:rsidR="00FB1CCA" w:rsidRPr="008769D6" w:rsidRDefault="00FB1CCA" w:rsidP="00FB1CCA">
      <w:pPr>
        <w:pStyle w:val="Voetnoottekst"/>
        <w:jc w:val="both"/>
        <w:rPr>
          <w:lang w:val="fr-BE"/>
        </w:rPr>
      </w:pPr>
      <w:r w:rsidRPr="008769D6">
        <w:rPr>
          <w:lang w:val="fr-BE"/>
        </w:rPr>
        <w:t>[</w:t>
      </w:r>
      <w:r w:rsidRPr="008769D6">
        <w:rPr>
          <w:rStyle w:val="Voetnootmarkering"/>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8769D6" w:rsidRDefault="00FB1CCA" w:rsidP="00FB1CCA">
      <w:pPr>
        <w:pStyle w:val="Voetnootteks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9">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20">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21">
    <w:p w:rsidR="00FB1CCA" w:rsidRPr="008769D6" w:rsidRDefault="00FB1CCA" w:rsidP="00FB1CCA">
      <w:pPr>
        <w:pStyle w:val="Voetnoottekst"/>
        <w:jc w:val="both"/>
        <w:rPr>
          <w:i/>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p>
  </w:footnote>
  <w:footnote w:id="22">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23">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par. </w:t>
      </w:r>
      <w:r>
        <w:rPr>
          <w:lang w:val="fr-BE"/>
        </w:rPr>
        <w:t>42</w:t>
      </w:r>
      <w:r w:rsidRPr="008769D6">
        <w:rPr>
          <w:lang w:val="fr-BE"/>
        </w:rPr>
        <w:t xml:space="preserve"> de la norme complémentaire (révisée en 2018): « </w:t>
      </w:r>
      <w:r w:rsidRPr="008769D6">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8769D6">
        <w:rPr>
          <w:lang w:val="fr-BE"/>
        </w:rPr>
        <w:t>»</w:t>
      </w:r>
    </w:p>
  </w:footnote>
  <w:footnote w:id="24">
    <w:p w:rsidR="00FB1CCA" w:rsidRPr="008769D6" w:rsidRDefault="00FB1CCA" w:rsidP="00FB1CCA">
      <w:pPr>
        <w:pStyle w:val="Voetnoottekst"/>
        <w:jc w:val="both"/>
        <w:rPr>
          <w:lang w:val="fr-BE"/>
        </w:rPr>
      </w:pPr>
      <w:r w:rsidRPr="008769D6">
        <w:rPr>
          <w:lang w:val="fr-BE"/>
        </w:rPr>
        <w:t>[</w:t>
      </w:r>
      <w:r w:rsidRPr="008769D6">
        <w:rPr>
          <w:rStyle w:val="Voetnootmarkering"/>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8769D6" w:rsidRDefault="00FB1CCA" w:rsidP="00FB1CCA">
      <w:pPr>
        <w:pStyle w:val="Voetnootteks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5">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26">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présent exemple de rapport prend en considération les normes IFRS utilisées pour l’établissement des comptes consolidés.</w:t>
      </w:r>
    </w:p>
  </w:footnote>
  <w:footnote w:id="27">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p>
  </w:footnote>
  <w:footnote w:id="28">
    <w:p w:rsidR="00FB1CCA" w:rsidRPr="008769D6" w:rsidRDefault="00FB1CCA" w:rsidP="00FB1CCA">
      <w:pPr>
        <w:pStyle w:val="Voetnoottekst"/>
        <w:jc w:val="both"/>
        <w:rPr>
          <w:szCs w:val="16"/>
          <w:lang w:val="fr-BE"/>
        </w:rPr>
      </w:pPr>
      <w:r w:rsidRPr="008769D6">
        <w:rPr>
          <w:rStyle w:val="Voetnootmarkering"/>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29">
    <w:p w:rsidR="00FB1CCA" w:rsidRPr="008769D6" w:rsidRDefault="00FB1CCA" w:rsidP="00FB1CCA">
      <w:pPr>
        <w:pStyle w:val="Voetnoottekst"/>
        <w:jc w:val="both"/>
        <w:rPr>
          <w:szCs w:val="16"/>
          <w:lang w:val="fr-BE"/>
        </w:rPr>
      </w:pPr>
      <w:r w:rsidRPr="008769D6">
        <w:rPr>
          <w:rStyle w:val="Voetnootmarkering"/>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30">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31">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2">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3">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par. </w:t>
      </w:r>
      <w:r>
        <w:rPr>
          <w:lang w:val="fr-BE"/>
        </w:rPr>
        <w:t>42</w:t>
      </w:r>
      <w:r w:rsidRPr="008769D6">
        <w:rPr>
          <w:lang w:val="fr-BE"/>
        </w:rPr>
        <w:t xml:space="preserve"> de la norme complémentaire (révisée en 2018): « </w:t>
      </w:r>
      <w:r w:rsidRPr="008769D6">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r w:rsidRPr="008769D6">
        <w:rPr>
          <w:lang w:val="fr-BE"/>
        </w:rPr>
        <w:t>»</w:t>
      </w:r>
    </w:p>
  </w:footnote>
  <w:footnote w:id="34">
    <w:p w:rsidR="00FB1CCA" w:rsidRPr="008769D6" w:rsidRDefault="00FB1CCA" w:rsidP="00FB1CCA">
      <w:pPr>
        <w:pStyle w:val="Voetnoottekst"/>
        <w:jc w:val="both"/>
        <w:rPr>
          <w:lang w:val="fr-BE"/>
        </w:rPr>
      </w:pPr>
      <w:r w:rsidRPr="008769D6">
        <w:rPr>
          <w:lang w:val="fr-BE"/>
        </w:rPr>
        <w:t>[</w:t>
      </w:r>
      <w:r w:rsidRPr="008769D6">
        <w:rPr>
          <w:rStyle w:val="Voetnootmarkering"/>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8769D6" w:rsidRDefault="00FB1CCA" w:rsidP="00FB1CCA">
      <w:pPr>
        <w:pStyle w:val="Voetnoottekst"/>
        <w:jc w:val="both"/>
        <w:rPr>
          <w:lang w:val="fr-BE"/>
        </w:rPr>
      </w:pPr>
      <w:r w:rsidRPr="008769D6">
        <w:rPr>
          <w:lang w:val="fr-BE"/>
        </w:rPr>
        <w:t>Sans préjudice de ce qui est mentionné ci-après concernant</w:t>
      </w:r>
      <w:r>
        <w:rPr>
          <w:lang w:val="fr-BE"/>
        </w:rPr>
        <w:t xml:space="preserve"> les EIP et</w:t>
      </w:r>
      <w:r w:rsidRPr="008769D6">
        <w:rPr>
          <w:lang w:val="fr-BE"/>
        </w:rPr>
        <w:t xml:space="preserve">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w:t>
      </w:r>
      <w:r w:rsidRPr="006C32E3">
        <w:rPr>
          <w:lang w:val="fr-BE"/>
        </w:rPr>
        <w:t xml:space="preserve">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w:t>
      </w:r>
      <w:r w:rsidRPr="008769D6">
        <w:rPr>
          <w:lang w:val="fr-BE"/>
        </w:rPr>
        <w:t>financier annuel au sens de l’article 12, § 2 de l’arrêté royal du 14 novembre 2007 relatif aux obligations des émetteurs d’instruments financiers admis à la négociation sur un marché réglementé</w:t>
      </w:r>
      <w:r w:rsidRPr="006C32E3">
        <w:rPr>
          <w:lang w:val="fr-BE"/>
        </w:rPr>
        <w:t xml:space="preserve">. </w:t>
      </w:r>
      <w:r w:rsidRPr="008769D6">
        <w:rPr>
          <w:lang w:val="fr-BE"/>
        </w:rPr>
        <w:t>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35">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36">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37">
    <w:p w:rsidR="00FB1CCA" w:rsidRPr="008769D6" w:rsidRDefault="00FB1CCA" w:rsidP="00FB1CCA">
      <w:pPr>
        <w:pStyle w:val="Voetnoottekst"/>
        <w:jc w:val="both"/>
        <w:rPr>
          <w:i/>
          <w:lang w:val="fr-BE"/>
        </w:rPr>
      </w:pPr>
      <w:r w:rsidRPr="008769D6">
        <w:rPr>
          <w:rStyle w:val="Voetnootmarkering"/>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p>
  </w:footnote>
  <w:footnote w:id="38">
    <w:p w:rsidR="00FB1CCA" w:rsidRPr="008769D6" w:rsidRDefault="00FB1CCA" w:rsidP="00FB1CCA">
      <w:pPr>
        <w:pStyle w:val="Voetnoottekst"/>
        <w:jc w:val="both"/>
        <w:rPr>
          <w:szCs w:val="16"/>
          <w:lang w:val="fr-BE"/>
        </w:rPr>
      </w:pPr>
      <w:r w:rsidRPr="008769D6">
        <w:rPr>
          <w:rStyle w:val="Voetnootmarkering"/>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39">
    <w:p w:rsidR="00FB1CCA" w:rsidRPr="008769D6" w:rsidRDefault="00FB1CCA" w:rsidP="00FB1CCA">
      <w:pPr>
        <w:pStyle w:val="Voetnoottekst"/>
        <w:jc w:val="both"/>
        <w:rPr>
          <w:szCs w:val="16"/>
          <w:lang w:val="fr-BE"/>
        </w:rPr>
      </w:pPr>
      <w:r w:rsidRPr="008769D6">
        <w:rPr>
          <w:rStyle w:val="Voetnootmarkering"/>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40">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Par ailleurs, nous avons appliqué les normes internationales d’audit rendues applicables par l’IAASB aux exercices ouverts [clôturés] à partir du [DATE] non encore approuvées au niveau national ».</w:t>
      </w:r>
    </w:p>
  </w:footnote>
  <w:footnote w:id="41">
    <w:p w:rsidR="00FB1CCA" w:rsidRPr="00D3462E" w:rsidRDefault="00FB1CCA" w:rsidP="00FB1CCA">
      <w:pPr>
        <w:pStyle w:val="Voetnoottekst"/>
        <w:jc w:val="both"/>
        <w:rPr>
          <w:lang w:val="fr-BE"/>
        </w:rPr>
      </w:pPr>
      <w:r>
        <w:rPr>
          <w:rStyle w:val="Voetnootmarkering"/>
        </w:rPr>
        <w:footnoteRef/>
      </w:r>
      <w:r w:rsidRPr="00D3462E">
        <w:rPr>
          <w:lang w:val="fr-BE"/>
        </w:rPr>
        <w:t xml:space="preserve"> Le par. </w:t>
      </w:r>
      <w:r>
        <w:rPr>
          <w:lang w:val="fr-BE"/>
        </w:rPr>
        <w:t>42</w:t>
      </w:r>
      <w:r w:rsidRPr="00D3462E">
        <w:rPr>
          <w:lang w:val="fr-BE"/>
        </w:rPr>
        <w:t xml:space="preserve"> de la norme complémentaire </w:t>
      </w:r>
      <w:r>
        <w:rPr>
          <w:lang w:val="fr-BE"/>
        </w:rPr>
        <w:t>(révisée en 2018)</w:t>
      </w:r>
      <w:r w:rsidRPr="00D3462E">
        <w:rPr>
          <w:lang w:val="fr-BE"/>
        </w:rPr>
        <w:t xml:space="preserve">: </w:t>
      </w:r>
      <w:r>
        <w:rPr>
          <w:lang w:val="fr-BE"/>
        </w:rPr>
        <w:t>« </w:t>
      </w:r>
      <w:r w:rsidRPr="00D3462E">
        <w:rPr>
          <w:i/>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w:t>
      </w:r>
      <w:r>
        <w:rPr>
          <w:i/>
          <w:lang w:val="fr-BE"/>
        </w:rPr>
        <w:t>la partie « Autres</w:t>
      </w:r>
      <w:r w:rsidRPr="00D3462E">
        <w:rPr>
          <w:i/>
          <w:lang w:val="fr-BE"/>
        </w:rPr>
        <w:t xml:space="preserve"> obligations légales</w:t>
      </w:r>
      <w:r>
        <w:rPr>
          <w:i/>
          <w:lang w:val="fr-BE"/>
        </w:rPr>
        <w:t xml:space="preserve"> et</w:t>
      </w:r>
      <w:r w:rsidRPr="00D3462E">
        <w:rPr>
          <w:i/>
          <w:lang w:val="fr-BE"/>
        </w:rPr>
        <w:t xml:space="preserve"> réglementaires»</w:t>
      </w:r>
      <w:r>
        <w:rPr>
          <w:i/>
          <w:lang w:val="fr-BE"/>
        </w:rPr>
        <w:t xml:space="preserve">. </w:t>
      </w:r>
      <w:r>
        <w:rPr>
          <w:lang w:val="fr-BE"/>
        </w:rPr>
        <w:t>»</w:t>
      </w:r>
    </w:p>
  </w:footnote>
  <w:footnote w:id="42">
    <w:p w:rsidR="00FB1CCA" w:rsidRPr="00ED0420" w:rsidRDefault="00FB1CCA" w:rsidP="00FB1CCA">
      <w:pPr>
        <w:pStyle w:val="Voetnoottekst"/>
        <w:jc w:val="both"/>
        <w:rPr>
          <w:lang w:val="fr-BE"/>
        </w:rPr>
      </w:pPr>
      <w:r w:rsidRPr="00ED0420">
        <w:rPr>
          <w:lang w:val="fr-BE"/>
        </w:rPr>
        <w:t>[</w:t>
      </w:r>
      <w:r w:rsidRPr="00AB36B5">
        <w:rPr>
          <w:rStyle w:val="Voetnootmarkering"/>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FB1CCA" w:rsidRPr="00550EC5" w:rsidRDefault="00FB1CCA" w:rsidP="00FB1CCA">
      <w:pPr>
        <w:pStyle w:val="Voetnoottekst"/>
        <w:jc w:val="both"/>
        <w:rPr>
          <w:lang w:val="fr-BE"/>
        </w:rPr>
      </w:pPr>
      <w:r w:rsidRPr="008F26C1">
        <w:rPr>
          <w:lang w:val="fr-BE"/>
        </w:rPr>
        <w:t>Sans préjudice de ce qui est mentionné ci-après</w:t>
      </w:r>
      <w:r>
        <w:rPr>
          <w:lang w:val="fr-BE"/>
        </w:rPr>
        <w:t xml:space="preserve"> concernant les sociétés cotées</w:t>
      </w:r>
      <w:r w:rsidRPr="008F26C1">
        <w:rPr>
          <w:lang w:val="fr-BE"/>
        </w:rPr>
        <w:t>,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43">
    <w:p w:rsidR="00FB1CCA" w:rsidRPr="008769D6" w:rsidRDefault="00FB1CCA" w:rsidP="00FB1CCA">
      <w:pPr>
        <w:pStyle w:val="Voetnoottekst"/>
        <w:jc w:val="both"/>
        <w:rPr>
          <w:lang w:val="fr-BE"/>
        </w:rPr>
      </w:pPr>
      <w:r w:rsidRPr="008769D6">
        <w:rPr>
          <w:rStyle w:val="Voetnootmarkering"/>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44">
    <w:p w:rsidR="00FB1CCA" w:rsidRPr="008769D6" w:rsidRDefault="00FB1CCA" w:rsidP="00FB1CCA">
      <w:pPr>
        <w:pStyle w:val="Voetnoottekst"/>
        <w:rPr>
          <w:lang w:val="fr-BE"/>
        </w:rPr>
      </w:pPr>
      <w:r w:rsidRPr="008769D6">
        <w:rPr>
          <w:rStyle w:val="Voetnootmarkering"/>
        </w:rPr>
        <w:footnoteRef/>
      </w:r>
      <w:r w:rsidRPr="008769D6">
        <w:rPr>
          <w:lang w:val="fr-BE"/>
        </w:rPr>
        <w:t xml:space="preserve"> Le rapport de carence n’est établi que lorsqu’il s’agit de comptes annuels (art. 143, 2ème alinéa, C. Soc.) en ne doit pas être établi lorsqu’il s’agit de comptes consolidés.</w:t>
      </w:r>
    </w:p>
  </w:footnote>
  <w:footnote w:id="45">
    <w:p w:rsidR="00FB1CCA" w:rsidRPr="00ED0420" w:rsidRDefault="00FB1CCA" w:rsidP="00FB1CCA">
      <w:pPr>
        <w:pStyle w:val="Voetnoottekst"/>
        <w:tabs>
          <w:tab w:val="left" w:pos="142"/>
        </w:tabs>
        <w:ind w:left="142" w:hanging="142"/>
        <w:jc w:val="both"/>
        <w:rPr>
          <w:lang w:val="fr-BE"/>
        </w:rPr>
      </w:pPr>
      <w:r w:rsidRPr="008769D6">
        <w:rPr>
          <w:rStyle w:val="Voetnootmarkering"/>
        </w:rPr>
        <w:footnoteRef/>
      </w:r>
      <w:r w:rsidRPr="008769D6">
        <w:rPr>
          <w:lang w:val="fr-BE"/>
        </w:rPr>
        <w:t xml:space="preserve"> Le cas échéant, à compléter par l’identification des pièces que l’organe de gestion doit remettre au commissaire conformément à l’article 143, 1er alinéa du Code des sociétés et qui n’ont pas été transmis, y compris le rapport de gestion.</w:t>
      </w:r>
      <w:r w:rsidRPr="00ED0420">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jstnummering"/>
      <w:lvlText w:val="%1."/>
      <w:lvlJc w:val="left"/>
      <w:pPr>
        <w:tabs>
          <w:tab w:val="num" w:pos="360"/>
        </w:tabs>
        <w:ind w:left="360" w:hanging="360"/>
      </w:pPr>
      <w:rPr>
        <w:b/>
      </w:rPr>
    </w:lvl>
  </w:abstractNum>
  <w:abstractNum w:abstractNumId="1" w15:restartNumberingAfterBreak="0">
    <w:nsid w:val="02DA0F99"/>
    <w:multiLevelType w:val="hybridMultilevel"/>
    <w:tmpl w:val="A77252D4"/>
    <w:lvl w:ilvl="0" w:tplc="3A043CFE">
      <w:start w:val="2"/>
      <w:numFmt w:val="lowerRoman"/>
      <w:lvlText w:val="(%1)"/>
      <w:lvlJc w:val="left"/>
      <w:pPr>
        <w:ind w:left="1080" w:hanging="720"/>
      </w:pPr>
      <w:rPr>
        <w:rFonts w:hint="default"/>
      </w:rPr>
    </w:lvl>
    <w:lvl w:ilvl="1" w:tplc="FD1E11FA">
      <w:start w:val="1"/>
      <w:numFmt w:val="lowerRoman"/>
      <w:lvlText w:val="(%2)"/>
      <w:lvlJc w:val="left"/>
      <w:pPr>
        <w:ind w:left="1440" w:hanging="360"/>
      </w:pPr>
      <w:rPr>
        <w:rFonts w:ascii="Times New Roman" w:eastAsia="Times New Roman" w:hAnsi="Times New Roman" w:cs="Times New Roman"/>
      </w:rPr>
    </w:lvl>
    <w:lvl w:ilvl="2" w:tplc="69E4E5A4">
      <w:start w:val="1"/>
      <w:numFmt w:val="lowerLetter"/>
      <w:lvlText w:val="%3)"/>
      <w:lvlJc w:val="left"/>
      <w:pPr>
        <w:ind w:left="2340" w:hanging="360"/>
      </w:pPr>
      <w:rPr>
        <w:rFonts w:hint="default"/>
        <w:color w:val="000000" w:themeColor="text1"/>
      </w:rPr>
    </w:lvl>
    <w:lvl w:ilvl="3" w:tplc="FECC7DCC">
      <w:numFmt w:val="bullet"/>
      <w:lvlText w:val="-"/>
      <w:lvlJc w:val="left"/>
      <w:pPr>
        <w:ind w:left="2880" w:hanging="360"/>
      </w:pPr>
      <w:rPr>
        <w:rFonts w:ascii="Times New Roman" w:eastAsia="Calibr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05167"/>
    <w:multiLevelType w:val="hybridMultilevel"/>
    <w:tmpl w:val="2EB8C00C"/>
    <w:lvl w:ilvl="0" w:tplc="DEA02448">
      <w:start w:val="4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6" w15:restartNumberingAfterBreak="0">
    <w:nsid w:val="14F1039D"/>
    <w:multiLevelType w:val="hybridMultilevel"/>
    <w:tmpl w:val="0D32B2E2"/>
    <w:lvl w:ilvl="0" w:tplc="20A6EA7E">
      <w:start w:val="1"/>
      <w:numFmt w:val="decimal"/>
      <w:lvlText w:val="%1."/>
      <w:lvlJc w:val="left"/>
      <w:pPr>
        <w:ind w:left="360" w:hanging="360"/>
      </w:pPr>
      <w:rPr>
        <w:rFonts w:hint="default"/>
        <w:b/>
        <w:i w:val="0"/>
        <w:sz w:val="24"/>
      </w:rPr>
    </w:lvl>
    <w:lvl w:ilvl="1" w:tplc="A970AC5C">
      <w:numFmt w:val="bullet"/>
      <w:lvlText w:val="-"/>
      <w:lvlJc w:val="left"/>
      <w:pPr>
        <w:ind w:left="-4874" w:hanging="360"/>
      </w:pPr>
      <w:rPr>
        <w:rFonts w:ascii="Times New Roman" w:eastAsia="Times New Roman" w:hAnsi="Times New Roman" w:cs="Times New Roman" w:hint="default"/>
        <w:color w:val="auto"/>
      </w:rPr>
    </w:lvl>
    <w:lvl w:ilvl="2" w:tplc="080C001B">
      <w:start w:val="1"/>
      <w:numFmt w:val="lowerRoman"/>
      <w:lvlText w:val="%3."/>
      <w:lvlJc w:val="right"/>
      <w:pPr>
        <w:ind w:left="-4154" w:hanging="180"/>
      </w:pPr>
    </w:lvl>
    <w:lvl w:ilvl="3" w:tplc="080C000F" w:tentative="1">
      <w:start w:val="1"/>
      <w:numFmt w:val="decimal"/>
      <w:lvlText w:val="%4."/>
      <w:lvlJc w:val="left"/>
      <w:pPr>
        <w:ind w:left="-3434" w:hanging="360"/>
      </w:pPr>
    </w:lvl>
    <w:lvl w:ilvl="4" w:tplc="080C0019" w:tentative="1">
      <w:start w:val="1"/>
      <w:numFmt w:val="lowerLetter"/>
      <w:lvlText w:val="%5."/>
      <w:lvlJc w:val="left"/>
      <w:pPr>
        <w:ind w:left="-2714" w:hanging="360"/>
      </w:pPr>
    </w:lvl>
    <w:lvl w:ilvl="5" w:tplc="080C001B" w:tentative="1">
      <w:start w:val="1"/>
      <w:numFmt w:val="lowerRoman"/>
      <w:lvlText w:val="%6."/>
      <w:lvlJc w:val="right"/>
      <w:pPr>
        <w:ind w:left="-1994" w:hanging="180"/>
      </w:pPr>
    </w:lvl>
    <w:lvl w:ilvl="6" w:tplc="080C000F" w:tentative="1">
      <w:start w:val="1"/>
      <w:numFmt w:val="decimal"/>
      <w:lvlText w:val="%7."/>
      <w:lvlJc w:val="left"/>
      <w:pPr>
        <w:ind w:left="-1274" w:hanging="360"/>
      </w:pPr>
    </w:lvl>
    <w:lvl w:ilvl="7" w:tplc="080C0019" w:tentative="1">
      <w:start w:val="1"/>
      <w:numFmt w:val="lowerLetter"/>
      <w:lvlText w:val="%8."/>
      <w:lvlJc w:val="left"/>
      <w:pPr>
        <w:ind w:left="-554" w:hanging="360"/>
      </w:pPr>
    </w:lvl>
    <w:lvl w:ilvl="8" w:tplc="080C001B" w:tentative="1">
      <w:start w:val="1"/>
      <w:numFmt w:val="lowerRoman"/>
      <w:lvlText w:val="%9."/>
      <w:lvlJc w:val="right"/>
      <w:pPr>
        <w:ind w:left="166" w:hanging="180"/>
      </w:pPr>
    </w:lvl>
  </w:abstractNum>
  <w:abstractNum w:abstractNumId="7" w15:restartNumberingAfterBreak="0">
    <w:nsid w:val="160877C1"/>
    <w:multiLevelType w:val="hybridMultilevel"/>
    <w:tmpl w:val="7AF8E684"/>
    <w:lvl w:ilvl="0" w:tplc="0CA09B8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C5ACD"/>
    <w:multiLevelType w:val="hybridMultilevel"/>
    <w:tmpl w:val="7800FF68"/>
    <w:lvl w:ilvl="0" w:tplc="F09AD9D0">
      <w:start w:val="1"/>
      <w:numFmt w:val="bullet"/>
      <w:lvlText w:val=""/>
      <w:lvlJc w:val="left"/>
      <w:pPr>
        <w:ind w:left="408" w:hanging="360"/>
      </w:pPr>
      <w:rPr>
        <w:rFonts w:ascii="Wingdings" w:eastAsia="Times New Roman" w:hAnsi="Wingdings" w:cs="Times New Roman" w:hint="default"/>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10"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1269AB"/>
    <w:multiLevelType w:val="hybridMultilevel"/>
    <w:tmpl w:val="458C9250"/>
    <w:lvl w:ilvl="0" w:tplc="3EA0D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7F0967"/>
    <w:multiLevelType w:val="hybridMultilevel"/>
    <w:tmpl w:val="F09A067E"/>
    <w:lvl w:ilvl="0" w:tplc="7EE81DF6">
      <w:start w:val="1"/>
      <w:numFmt w:val="lowerRoman"/>
      <w:lvlText w:val="(%1)"/>
      <w:lvlJc w:val="left"/>
      <w:pPr>
        <w:ind w:left="144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CB3F36"/>
    <w:multiLevelType w:val="hybridMultilevel"/>
    <w:tmpl w:val="62663A3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66668E"/>
    <w:multiLevelType w:val="hybridMultilevel"/>
    <w:tmpl w:val="3E08152C"/>
    <w:lvl w:ilvl="0" w:tplc="45C2AD7C">
      <w:start w:val="1"/>
      <w:numFmt w:val="decimal"/>
      <w:lvlText w:val="A%1."/>
      <w:lvlJc w:val="left"/>
      <w:pPr>
        <w:ind w:left="720" w:hanging="360"/>
      </w:pPr>
      <w:rPr>
        <w:rFonts w:hint="default"/>
        <w:b/>
        <w:i w:val="0"/>
      </w:rPr>
    </w:lvl>
    <w:lvl w:ilvl="1" w:tplc="08130019">
      <w:start w:val="1"/>
      <w:numFmt w:val="lowerLetter"/>
      <w:lvlText w:val="%2."/>
      <w:lvlJc w:val="left"/>
      <w:pPr>
        <w:ind w:left="1440" w:hanging="360"/>
      </w:pPr>
    </w:lvl>
    <w:lvl w:ilvl="2" w:tplc="05C805C0">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B9C3734"/>
    <w:multiLevelType w:val="hybridMultilevel"/>
    <w:tmpl w:val="C4F6A6EE"/>
    <w:lvl w:ilvl="0" w:tplc="6674D98A">
      <w:start w:val="1"/>
      <w:numFmt w:val="lowerRoman"/>
      <w:lvlText w:val="(%1)"/>
      <w:lvlJc w:val="left"/>
      <w:pPr>
        <w:ind w:left="720" w:hanging="360"/>
      </w:pPr>
      <w:rPr>
        <w:rFonts w:ascii="Times New Roman" w:eastAsiaTheme="minorHAnsi" w:hAnsi="Times New Roman"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7"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8" w15:restartNumberingAfterBreak="0">
    <w:nsid w:val="33C84FD0"/>
    <w:multiLevelType w:val="hybridMultilevel"/>
    <w:tmpl w:val="56EC0B00"/>
    <w:lvl w:ilvl="0" w:tplc="02B2C6AC">
      <w:start w:val="1"/>
      <w:numFmt w:val="lowerRoman"/>
      <w:lvlText w:val="(%1)"/>
      <w:lvlJc w:val="left"/>
      <w:pPr>
        <w:ind w:left="1080" w:hanging="720"/>
      </w:pPr>
      <w:rPr>
        <w:rFonts w:hint="default"/>
      </w:rPr>
    </w:lvl>
    <w:lvl w:ilvl="1" w:tplc="7EE81DF6">
      <w:start w:val="1"/>
      <w:numFmt w:val="lowerRoman"/>
      <w:lvlText w:val="(%2)"/>
      <w:lvlJc w:val="left"/>
      <w:pPr>
        <w:ind w:left="1440" w:hanging="360"/>
      </w:pPr>
      <w:rPr>
        <w:rFonts w:ascii="Times New Roman" w:eastAsia="Times New Roman" w:hAnsi="Times New Roman" w:cs="Times New Roman"/>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EA382D"/>
    <w:multiLevelType w:val="hybridMultilevel"/>
    <w:tmpl w:val="A4049E00"/>
    <w:lvl w:ilvl="0" w:tplc="47DEA15C">
      <w:start w:val="1"/>
      <w:numFmt w:val="decimal"/>
      <w:lvlText w:val="(%1)"/>
      <w:lvlJc w:val="left"/>
      <w:pPr>
        <w:ind w:left="1440" w:hanging="360"/>
      </w:pPr>
      <w:rPr>
        <w:rFonts w:hint="default"/>
      </w:rPr>
    </w:lvl>
    <w:lvl w:ilvl="1" w:tplc="717400F6">
      <w:start w:val="1"/>
      <w:numFmt w:val="lowerRoman"/>
      <w:lvlText w:val="(%2)"/>
      <w:lvlJc w:val="center"/>
      <w:pPr>
        <w:ind w:left="2160" w:hanging="360"/>
      </w:pPr>
      <w:rPr>
        <w:rFonts w:hint="default"/>
      </w:rPr>
    </w:lvl>
    <w:lvl w:ilvl="2" w:tplc="94E24474">
      <w:start w:val="1"/>
      <w:numFmt w:val="decimal"/>
      <w:lvlText w:val="%3)"/>
      <w:lvlJc w:val="left"/>
      <w:pPr>
        <w:ind w:left="3060" w:hanging="360"/>
      </w:pPr>
      <w:rPr>
        <w:rFonts w:hint="default"/>
      </w:r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43736332"/>
    <w:multiLevelType w:val="hybridMultilevel"/>
    <w:tmpl w:val="6922B2A8"/>
    <w:lvl w:ilvl="0" w:tplc="640CB306">
      <w:numFmt w:val="bullet"/>
      <w:lvlText w:val="-"/>
      <w:lvlJc w:val="left"/>
      <w:pPr>
        <w:ind w:left="720" w:hanging="360"/>
      </w:pPr>
      <w:rPr>
        <w:rFonts w:ascii="Times New Roman" w:eastAsia="Calibr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D035F3"/>
    <w:multiLevelType w:val="hybridMultilevel"/>
    <w:tmpl w:val="748229FE"/>
    <w:lvl w:ilvl="0" w:tplc="50CC1E00">
      <w:start w:val="1"/>
      <w:numFmt w:val="lowerRoman"/>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2" w15:restartNumberingAfterBreak="0">
    <w:nsid w:val="51992B64"/>
    <w:multiLevelType w:val="hybridMultilevel"/>
    <w:tmpl w:val="3DA2B8D2"/>
    <w:lvl w:ilvl="0" w:tplc="529ED7EE">
      <w:start w:val="1"/>
      <w:numFmt w:val="lowerRoman"/>
      <w:lvlText w:val="(%1)"/>
      <w:lvlJc w:val="left"/>
      <w:pPr>
        <w:ind w:left="1440" w:hanging="720"/>
      </w:pPr>
      <w:rPr>
        <w:rFonts w:hint="default"/>
        <w:color w:val="000000" w:themeColor="text1"/>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9084C29"/>
    <w:multiLevelType w:val="hybridMultilevel"/>
    <w:tmpl w:val="F720145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69D85FF1"/>
    <w:multiLevelType w:val="hybridMultilevel"/>
    <w:tmpl w:val="E7B460B0"/>
    <w:lvl w:ilvl="0" w:tplc="5C96512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1CE4911"/>
    <w:multiLevelType w:val="hybridMultilevel"/>
    <w:tmpl w:val="CFC07AEA"/>
    <w:lvl w:ilvl="0" w:tplc="05C805C0">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27" w15:restartNumberingAfterBreak="0">
    <w:nsid w:val="72684F94"/>
    <w:multiLevelType w:val="hybridMultilevel"/>
    <w:tmpl w:val="6A7EC532"/>
    <w:lvl w:ilvl="0" w:tplc="C76E4D9A">
      <w:start w:val="1"/>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8" w15:restartNumberingAfterBreak="0">
    <w:nsid w:val="761433FE"/>
    <w:multiLevelType w:val="hybridMultilevel"/>
    <w:tmpl w:val="D340F3B2"/>
    <w:lvl w:ilvl="0" w:tplc="717400F6">
      <w:start w:val="1"/>
      <w:numFmt w:val="lowerRoman"/>
      <w:lvlText w:val="(%1)"/>
      <w:lvlJc w:val="center"/>
      <w:pPr>
        <w:ind w:left="1080" w:hanging="360"/>
      </w:pPr>
      <w:rPr>
        <w:rFonts w:hint="default"/>
      </w:rPr>
    </w:lvl>
    <w:lvl w:ilvl="1" w:tplc="717400F6">
      <w:start w:val="1"/>
      <w:numFmt w:val="lowerRoman"/>
      <w:lvlText w:val="(%2)"/>
      <w:lvlJc w:val="center"/>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905065F"/>
    <w:multiLevelType w:val="hybridMultilevel"/>
    <w:tmpl w:val="4F283EF6"/>
    <w:lvl w:ilvl="0" w:tplc="CE02B920">
      <w:start w:val="1"/>
      <w:numFmt w:val="decimal"/>
      <w:lvlText w:val="A%1."/>
      <w:lvlJc w:val="left"/>
      <w:pPr>
        <w:ind w:left="644" w:hanging="360"/>
      </w:pPr>
      <w:rPr>
        <w:rFonts w:ascii="Times New Roman" w:hAnsi="Times New Roman" w:cs="Times New Roman"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914594"/>
    <w:multiLevelType w:val="hybridMultilevel"/>
    <w:tmpl w:val="04CEAA80"/>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31"/>
  </w:num>
  <w:num w:numId="5">
    <w:abstractNumId w:val="5"/>
  </w:num>
  <w:num w:numId="6">
    <w:abstractNumId w:val="24"/>
  </w:num>
  <w:num w:numId="7">
    <w:abstractNumId w:val="17"/>
  </w:num>
  <w:num w:numId="8">
    <w:abstractNumId w:val="21"/>
  </w:num>
  <w:num w:numId="9">
    <w:abstractNumId w:val="8"/>
  </w:num>
  <w:num w:numId="10">
    <w:abstractNumId w:val="13"/>
  </w:num>
  <w:num w:numId="11">
    <w:abstractNumId w:val="10"/>
  </w:num>
  <w:num w:numId="12">
    <w:abstractNumId w:val="18"/>
  </w:num>
  <w:num w:numId="13">
    <w:abstractNumId w:val="25"/>
  </w:num>
  <w:num w:numId="14">
    <w:abstractNumId w:val="15"/>
  </w:num>
  <w:num w:numId="15">
    <w:abstractNumId w:val="19"/>
  </w:num>
  <w:num w:numId="16">
    <w:abstractNumId w:val="28"/>
  </w:num>
  <w:num w:numId="17">
    <w:abstractNumId w:val="1"/>
  </w:num>
  <w:num w:numId="18">
    <w:abstractNumId w:val="30"/>
  </w:num>
  <w:num w:numId="19">
    <w:abstractNumId w:val="7"/>
  </w:num>
  <w:num w:numId="20">
    <w:abstractNumId w:val="27"/>
  </w:num>
  <w:num w:numId="21">
    <w:abstractNumId w:val="29"/>
  </w:num>
  <w:num w:numId="22">
    <w:abstractNumId w:val="14"/>
  </w:num>
  <w:num w:numId="23">
    <w:abstractNumId w:val="23"/>
  </w:num>
  <w:num w:numId="24">
    <w:abstractNumId w:val="12"/>
  </w:num>
  <w:num w:numId="25">
    <w:abstractNumId w:val="22"/>
  </w:num>
  <w:num w:numId="26">
    <w:abstractNumId w:val="2"/>
  </w:num>
  <w:num w:numId="27">
    <w:abstractNumId w:val="3"/>
  </w:num>
  <w:num w:numId="28">
    <w:abstractNumId w:val="26"/>
  </w:num>
  <w:num w:numId="29">
    <w:abstractNumId w:val="4"/>
  </w:num>
  <w:num w:numId="30">
    <w:abstractNumId w:val="9"/>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CA"/>
    <w:rsid w:val="00331AC9"/>
    <w:rsid w:val="00417A31"/>
    <w:rsid w:val="007322D7"/>
    <w:rsid w:val="007A1971"/>
    <w:rsid w:val="009D753D"/>
    <w:rsid w:val="00FB1CC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27B00-749E-4407-BB6F-1C7F8695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1CCA"/>
    <w:pPr>
      <w:spacing w:after="200" w:line="276" w:lineRule="auto"/>
    </w:pPr>
    <w:rPr>
      <w:rFonts w:ascii="Calibri" w:eastAsia="Calibri" w:hAnsi="Calibri" w:cs="Times New Roman"/>
      <w:lang w:val="fr-BE"/>
    </w:rPr>
  </w:style>
  <w:style w:type="paragraph" w:styleId="Kop1">
    <w:name w:val="heading 1"/>
    <w:basedOn w:val="Standaard"/>
    <w:next w:val="Standaard"/>
    <w:link w:val="Kop1Char"/>
    <w:uiPriority w:val="9"/>
    <w:qFormat/>
    <w:rsid w:val="00FB1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FB1CCA"/>
    <w:pPr>
      <w:keepNext/>
      <w:keepLines/>
      <w:spacing w:before="200" w:after="0" w:line="360" w:lineRule="auto"/>
      <w:jc w:val="both"/>
      <w:outlineLvl w:val="1"/>
    </w:pPr>
    <w:rPr>
      <w:rFonts w:asciiTheme="majorHAnsi" w:eastAsiaTheme="majorEastAsia" w:hAnsiTheme="majorHAnsi" w:cstheme="majorBidi"/>
      <w:b/>
      <w:bCs/>
      <w:color w:val="2F5496" w:themeColor="accent1" w:themeShade="BF"/>
      <w:sz w:val="26"/>
      <w:szCs w:val="26"/>
      <w:lang w:val="en-GB" w:eastAsia="en-GB"/>
    </w:rPr>
  </w:style>
  <w:style w:type="paragraph" w:styleId="Kop3">
    <w:name w:val="heading 3"/>
    <w:basedOn w:val="Standaard"/>
    <w:next w:val="Standaard"/>
    <w:link w:val="Kop3Char"/>
    <w:uiPriority w:val="9"/>
    <w:unhideWhenUsed/>
    <w:qFormat/>
    <w:rsid w:val="00FB1CCA"/>
    <w:pPr>
      <w:keepNext/>
      <w:keepLines/>
      <w:spacing w:before="40" w:after="0" w:line="360" w:lineRule="auto"/>
      <w:outlineLvl w:val="2"/>
    </w:pPr>
    <w:rPr>
      <w:rFonts w:asciiTheme="majorHAnsi" w:eastAsiaTheme="majorEastAsia" w:hAnsiTheme="majorHAnsi" w:cstheme="majorBidi"/>
      <w:b/>
      <w:i/>
      <w:color w:val="2F5496" w:themeColor="accent1" w:themeShade="BF"/>
      <w:sz w:val="24"/>
      <w:szCs w:val="24"/>
    </w:rPr>
  </w:style>
  <w:style w:type="paragraph" w:styleId="Kop4">
    <w:name w:val="heading 4"/>
    <w:basedOn w:val="Standaard"/>
    <w:next w:val="Standaard"/>
    <w:link w:val="Kop4Char"/>
    <w:uiPriority w:val="9"/>
    <w:unhideWhenUsed/>
    <w:qFormat/>
    <w:rsid w:val="00FB1CCA"/>
    <w:pPr>
      <w:keepNext/>
      <w:keepLines/>
      <w:spacing w:before="40" w:after="0" w:line="360" w:lineRule="auto"/>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iPriority w:val="9"/>
    <w:unhideWhenUsed/>
    <w:qFormat/>
    <w:rsid w:val="00FB1CCA"/>
    <w:pPr>
      <w:keepNext/>
      <w:keepLines/>
      <w:spacing w:before="40" w:after="0"/>
      <w:jc w:val="both"/>
      <w:outlineLvl w:val="4"/>
    </w:pPr>
    <w:rPr>
      <w:rFonts w:asciiTheme="majorHAnsi" w:eastAsiaTheme="majorEastAsia" w:hAnsiTheme="majorHAnsi" w:cstheme="majorBidi"/>
      <w: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1CCA"/>
    <w:rPr>
      <w:rFonts w:asciiTheme="majorHAnsi" w:eastAsiaTheme="majorEastAsia" w:hAnsiTheme="majorHAnsi" w:cstheme="majorBidi"/>
      <w:color w:val="2F5496" w:themeColor="accent1" w:themeShade="BF"/>
      <w:sz w:val="32"/>
      <w:szCs w:val="32"/>
      <w:lang w:val="fr-BE"/>
    </w:rPr>
  </w:style>
  <w:style w:type="character" w:customStyle="1" w:styleId="Kop2Char">
    <w:name w:val="Kop 2 Char"/>
    <w:basedOn w:val="Standaardalinea-lettertype"/>
    <w:link w:val="Kop2"/>
    <w:rsid w:val="00FB1CCA"/>
    <w:rPr>
      <w:rFonts w:asciiTheme="majorHAnsi" w:eastAsiaTheme="majorEastAsia" w:hAnsiTheme="majorHAnsi" w:cstheme="majorBidi"/>
      <w:b/>
      <w:bCs/>
      <w:color w:val="2F5496" w:themeColor="accent1" w:themeShade="BF"/>
      <w:sz w:val="26"/>
      <w:szCs w:val="26"/>
      <w:lang w:val="en-GB" w:eastAsia="en-GB"/>
    </w:rPr>
  </w:style>
  <w:style w:type="character" w:customStyle="1" w:styleId="Kop3Char">
    <w:name w:val="Kop 3 Char"/>
    <w:basedOn w:val="Standaardalinea-lettertype"/>
    <w:link w:val="Kop3"/>
    <w:uiPriority w:val="9"/>
    <w:rsid w:val="00FB1CCA"/>
    <w:rPr>
      <w:rFonts w:asciiTheme="majorHAnsi" w:eastAsiaTheme="majorEastAsia" w:hAnsiTheme="majorHAnsi" w:cstheme="majorBidi"/>
      <w:b/>
      <w:i/>
      <w:color w:val="2F5496" w:themeColor="accent1" w:themeShade="BF"/>
      <w:sz w:val="24"/>
      <w:szCs w:val="24"/>
      <w:lang w:val="fr-BE"/>
    </w:rPr>
  </w:style>
  <w:style w:type="character" w:customStyle="1" w:styleId="Kop4Char">
    <w:name w:val="Kop 4 Char"/>
    <w:basedOn w:val="Standaardalinea-lettertype"/>
    <w:link w:val="Kop4"/>
    <w:uiPriority w:val="9"/>
    <w:rsid w:val="00FB1CCA"/>
    <w:rPr>
      <w:rFonts w:asciiTheme="majorHAnsi" w:eastAsiaTheme="majorEastAsia" w:hAnsiTheme="majorHAnsi" w:cstheme="majorBidi"/>
      <w:iCs/>
      <w:color w:val="2F5496" w:themeColor="accent1" w:themeShade="BF"/>
      <w:lang w:val="fr-BE"/>
    </w:rPr>
  </w:style>
  <w:style w:type="character" w:customStyle="1" w:styleId="Kop5Char">
    <w:name w:val="Kop 5 Char"/>
    <w:basedOn w:val="Standaardalinea-lettertype"/>
    <w:link w:val="Kop5"/>
    <w:uiPriority w:val="9"/>
    <w:rsid w:val="00FB1CCA"/>
    <w:rPr>
      <w:rFonts w:asciiTheme="majorHAnsi" w:eastAsiaTheme="majorEastAsia" w:hAnsiTheme="majorHAnsi" w:cstheme="majorBidi"/>
      <w:i/>
      <w:color w:val="2F5496" w:themeColor="accent1" w:themeShade="BF"/>
      <w:lang w:val="fr-BE"/>
    </w:rPr>
  </w:style>
  <w:style w:type="paragraph" w:customStyle="1" w:styleId="Footnote">
    <w:name w:val="Footnote"/>
    <w:rsid w:val="00FB1CCA"/>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FB1CCA"/>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FB1CCA"/>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Koptekst">
    <w:name w:val="header"/>
    <w:basedOn w:val="Standaard"/>
    <w:link w:val="KoptekstChar"/>
    <w:uiPriority w:val="99"/>
    <w:unhideWhenUsed/>
    <w:rsid w:val="00FB1C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CCA"/>
    <w:rPr>
      <w:rFonts w:ascii="Calibri" w:eastAsia="Calibri" w:hAnsi="Calibri" w:cs="Times New Roman"/>
      <w:lang w:val="fr-BE"/>
    </w:rPr>
  </w:style>
  <w:style w:type="paragraph" w:styleId="Voettekst">
    <w:name w:val="footer"/>
    <w:basedOn w:val="Standaard"/>
    <w:link w:val="VoettekstChar"/>
    <w:uiPriority w:val="99"/>
    <w:unhideWhenUsed/>
    <w:rsid w:val="00FB1C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CCA"/>
    <w:rPr>
      <w:rFonts w:ascii="Calibri" w:eastAsia="Calibri" w:hAnsi="Calibri" w:cs="Times New Roman"/>
      <w:lang w:val="fr-BE"/>
    </w:rPr>
  </w:style>
  <w:style w:type="paragraph" w:styleId="Lijstalinea">
    <w:name w:val="List Paragraph"/>
    <w:basedOn w:val="Standaard"/>
    <w:link w:val="LijstalineaChar"/>
    <w:uiPriority w:val="34"/>
    <w:qFormat/>
    <w:rsid w:val="00FB1CCA"/>
    <w:pPr>
      <w:ind w:left="720"/>
      <w:contextualSpacing/>
    </w:pPr>
  </w:style>
  <w:style w:type="table" w:styleId="Tabelraster">
    <w:name w:val="Table Grid"/>
    <w:basedOn w:val="Standaardtabel"/>
    <w:uiPriority w:val="59"/>
    <w:rsid w:val="00FB1CCA"/>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unhideWhenUsed/>
    <w:rsid w:val="00FB1CCA"/>
    <w:pPr>
      <w:spacing w:after="120" w:line="240" w:lineRule="auto"/>
      <w:ind w:left="283"/>
    </w:pPr>
    <w:rPr>
      <w:sz w:val="16"/>
      <w:szCs w:val="16"/>
      <w:lang w:val="nl-BE"/>
    </w:rPr>
  </w:style>
  <w:style w:type="character" w:customStyle="1" w:styleId="Plattetekstinspringen3Char">
    <w:name w:val="Platte tekst inspringen 3 Char"/>
    <w:basedOn w:val="Standaardalinea-lettertype"/>
    <w:link w:val="Plattetekstinspringen3"/>
    <w:uiPriority w:val="99"/>
    <w:rsid w:val="00FB1CCA"/>
    <w:rPr>
      <w:rFonts w:ascii="Calibri" w:eastAsia="Calibri" w:hAnsi="Calibri" w:cs="Times New Roman"/>
      <w:sz w:val="16"/>
      <w:szCs w:val="16"/>
      <w:lang w:val="nl-BE"/>
    </w:rPr>
  </w:style>
  <w:style w:type="paragraph" w:customStyle="1" w:styleId="level1">
    <w:name w:val="level 1"/>
    <w:basedOn w:val="Standaard"/>
    <w:rsid w:val="00FB1CCA"/>
    <w:pPr>
      <w:tabs>
        <w:tab w:val="right" w:pos="360"/>
        <w:tab w:val="left" w:pos="576"/>
      </w:tabs>
      <w:spacing w:after="120" w:line="220" w:lineRule="exact"/>
      <w:ind w:left="576" w:hanging="576"/>
      <w:jc w:val="both"/>
    </w:pPr>
    <w:rPr>
      <w:rFonts w:ascii="Times New Roman" w:eastAsia="Times New Roman" w:hAnsi="Times New Roman"/>
      <w:sz w:val="20"/>
      <w:szCs w:val="20"/>
      <w:lang w:val="en-US"/>
    </w:rPr>
  </w:style>
  <w:style w:type="character" w:customStyle="1" w:styleId="bluebold">
    <w:name w:val="blue + bold"/>
    <w:rsid w:val="00FB1CCA"/>
    <w:rPr>
      <w:rFonts w:ascii="B Garamond 3 Bold" w:hAnsi="B Garamond 3 Bold"/>
      <w:noProof w:val="0"/>
      <w:color w:val="002364"/>
      <w:sz w:val="21"/>
      <w:lang w:val="nl-NL"/>
    </w:rPr>
  </w:style>
  <w:style w:type="paragraph" w:customStyle="1" w:styleId="text-indent">
    <w:name w:val="text-indent*"/>
    <w:basedOn w:val="Standaard"/>
    <w:rsid w:val="00FB1CCA"/>
    <w:pPr>
      <w:keepLines/>
      <w:tabs>
        <w:tab w:val="left" w:pos="283"/>
        <w:tab w:val="left" w:pos="566"/>
      </w:tabs>
      <w:spacing w:after="0" w:line="270" w:lineRule="exact"/>
      <w:ind w:left="283" w:hanging="284"/>
      <w:jc w:val="both"/>
    </w:pPr>
    <w:rPr>
      <w:rFonts w:ascii="Garamond 3" w:eastAsia="Times New Roman" w:hAnsi="Garamond 3"/>
      <w:sz w:val="21"/>
      <w:szCs w:val="20"/>
      <w:lang w:val="nl-NL"/>
    </w:rPr>
  </w:style>
  <w:style w:type="character" w:customStyle="1" w:styleId="bold">
    <w:name w:val="bold"/>
    <w:uiPriority w:val="99"/>
    <w:rsid w:val="00FB1CCA"/>
    <w:rPr>
      <w:rFonts w:ascii="B Garamond 3 Bold" w:hAnsi="B Garamond 3 Bold"/>
      <w:noProof w:val="0"/>
      <w:sz w:val="21"/>
      <w:lang w:val="nl-NL"/>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FB1CCA"/>
    <w:rPr>
      <w:vertAlign w:val="superscript"/>
    </w:rPr>
  </w:style>
  <w:style w:type="character" w:customStyle="1" w:styleId="titelbodyvetChar">
    <w:name w:val="titel body vet Char"/>
    <w:rsid w:val="00FB1CCA"/>
    <w:rPr>
      <w:b/>
      <w:color w:val="000000"/>
      <w:sz w:val="18"/>
      <w:lang w:val="nl-NL" w:eastAsia="nl-NL" w:bidi="ar-SA"/>
    </w:rPr>
  </w:style>
  <w:style w:type="paragraph" w:styleId="Plattetekst2">
    <w:name w:val="Body Text 2"/>
    <w:basedOn w:val="Standaard"/>
    <w:link w:val="Plattetekst2Char"/>
    <w:rsid w:val="00FB1CCA"/>
    <w:pPr>
      <w:autoSpaceDE w:val="0"/>
      <w:autoSpaceDN w:val="0"/>
      <w:adjustRightInd w:val="0"/>
      <w:spacing w:after="0" w:line="240" w:lineRule="auto"/>
      <w:jc w:val="both"/>
    </w:pPr>
    <w:rPr>
      <w:rFonts w:ascii="Times New Roman" w:eastAsia="Times New Roman" w:hAnsi="Times New Roman"/>
      <w:bCs/>
      <w:i/>
      <w:sz w:val="24"/>
      <w:szCs w:val="24"/>
      <w:lang w:eastAsia="nl-NL"/>
    </w:rPr>
  </w:style>
  <w:style w:type="character" w:customStyle="1" w:styleId="Plattetekst2Char">
    <w:name w:val="Platte tekst 2 Char"/>
    <w:basedOn w:val="Standaardalinea-lettertype"/>
    <w:link w:val="Plattetekst2"/>
    <w:rsid w:val="00FB1CCA"/>
    <w:rPr>
      <w:rFonts w:ascii="Times New Roman" w:eastAsia="Times New Roman" w:hAnsi="Times New Roman" w:cs="Times New Roman"/>
      <w:bCs/>
      <w:i/>
      <w:sz w:val="24"/>
      <w:szCs w:val="24"/>
      <w:lang w:val="fr-BE" w:eastAsia="nl-NL"/>
    </w:rPr>
  </w:style>
  <w:style w:type="character" w:styleId="Verwijzingopmerking">
    <w:name w:val="annotation reference"/>
    <w:uiPriority w:val="99"/>
    <w:semiHidden/>
    <w:rsid w:val="00FB1CCA"/>
    <w:rPr>
      <w:sz w:val="16"/>
      <w:szCs w:val="16"/>
    </w:rPr>
  </w:style>
  <w:style w:type="paragraph" w:customStyle="1" w:styleId="titelbodycursief">
    <w:name w:val="titel body cursief"/>
    <w:rsid w:val="00FB1CCA"/>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Plattetekst">
    <w:name w:val="Body Text"/>
    <w:basedOn w:val="Standaard"/>
    <w:link w:val="PlattetekstChar"/>
    <w:rsid w:val="00FB1CCA"/>
    <w:pPr>
      <w:overflowPunct w:val="0"/>
      <w:autoSpaceDE w:val="0"/>
      <w:autoSpaceDN w:val="0"/>
      <w:adjustRightInd w:val="0"/>
      <w:spacing w:after="120" w:line="240" w:lineRule="auto"/>
      <w:textAlignment w:val="baseline"/>
    </w:pPr>
    <w:rPr>
      <w:rFonts w:ascii="Times New Roman" w:eastAsia="Times New Roman" w:hAnsi="Times New Roman"/>
      <w:sz w:val="24"/>
      <w:szCs w:val="20"/>
      <w:lang w:val="nl-NL" w:eastAsia="nl-NL"/>
    </w:rPr>
  </w:style>
  <w:style w:type="character" w:customStyle="1" w:styleId="PlattetekstChar">
    <w:name w:val="Platte tekst Char"/>
    <w:basedOn w:val="Standaardalinea-lettertype"/>
    <w:link w:val="Plattetekst"/>
    <w:rsid w:val="00FB1CCA"/>
    <w:rPr>
      <w:rFonts w:ascii="Times New Roman" w:eastAsia="Times New Roman" w:hAnsi="Times New Roman" w:cs="Times New Roman"/>
      <w:sz w:val="24"/>
      <w:szCs w:val="20"/>
      <w:lang w:val="nl-NL" w:eastAsia="nl-NL"/>
    </w:rPr>
  </w:style>
  <w:style w:type="paragraph" w:customStyle="1" w:styleId="para">
    <w:name w:val="para"/>
    <w:rsid w:val="00FB1CCA"/>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FB1CCA"/>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FB1CCA"/>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
    <w:basedOn w:val="Standaard"/>
    <w:link w:val="VoetnoottekstChar"/>
    <w:rsid w:val="00FB1CCA"/>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FB1CCA"/>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FB1CCA"/>
  </w:style>
  <w:style w:type="paragraph" w:styleId="Tekstopmerking">
    <w:name w:val="annotation text"/>
    <w:basedOn w:val="Standaard"/>
    <w:link w:val="TekstopmerkingChar"/>
    <w:rsid w:val="00FB1CCA"/>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TekstopmerkingChar">
    <w:name w:val="Tekst opmerking Char"/>
    <w:basedOn w:val="Standaardalinea-lettertype"/>
    <w:link w:val="Tekstopmerking"/>
    <w:rsid w:val="00FB1CCA"/>
    <w:rPr>
      <w:rFonts w:ascii="Times New Roman" w:eastAsia="Times New Roman" w:hAnsi="Times New Roman" w:cs="Times New Roman"/>
      <w:sz w:val="20"/>
      <w:szCs w:val="20"/>
      <w:lang w:val="nl-NL" w:eastAsia="nl-NL"/>
    </w:rPr>
  </w:style>
  <w:style w:type="paragraph" w:styleId="Documentstructuur">
    <w:name w:val="Document Map"/>
    <w:basedOn w:val="Standaard"/>
    <w:link w:val="DocumentstructuurChar"/>
    <w:semiHidden/>
    <w:rsid w:val="00FB1CCA"/>
    <w:pPr>
      <w:shd w:val="clear" w:color="auto" w:fill="000080"/>
      <w:spacing w:after="0" w:line="240" w:lineRule="auto"/>
    </w:pPr>
    <w:rPr>
      <w:rFonts w:ascii="Tahoma" w:eastAsia="Times New Roman" w:hAnsi="Tahoma"/>
      <w:sz w:val="20"/>
      <w:szCs w:val="20"/>
    </w:rPr>
  </w:style>
  <w:style w:type="character" w:customStyle="1" w:styleId="DocumentstructuurChar">
    <w:name w:val="Documentstructuur Char"/>
    <w:basedOn w:val="Standaardalinea-lettertype"/>
    <w:link w:val="Documentstructuur"/>
    <w:semiHidden/>
    <w:rsid w:val="00FB1CCA"/>
    <w:rPr>
      <w:rFonts w:ascii="Tahoma" w:eastAsia="Times New Roman" w:hAnsi="Tahoma" w:cs="Times New Roman"/>
      <w:sz w:val="20"/>
      <w:szCs w:val="20"/>
      <w:shd w:val="clear" w:color="auto" w:fill="000080"/>
      <w:lang w:val="fr-BE"/>
    </w:rPr>
  </w:style>
  <w:style w:type="paragraph" w:customStyle="1" w:styleId="Ballontekst1">
    <w:name w:val="Ballontekst1"/>
    <w:basedOn w:val="Standaard"/>
    <w:semiHidden/>
    <w:rsid w:val="00FB1CCA"/>
    <w:pPr>
      <w:spacing w:after="0" w:line="240" w:lineRule="auto"/>
    </w:pPr>
    <w:rPr>
      <w:rFonts w:ascii="Tahoma" w:eastAsia="Times New Roman" w:hAnsi="Tahoma" w:cs="Tahoma"/>
      <w:sz w:val="16"/>
      <w:szCs w:val="16"/>
    </w:rPr>
  </w:style>
  <w:style w:type="paragraph" w:customStyle="1" w:styleId="Onderwerpvanopmerking1">
    <w:name w:val="Onderwerp van opmerking1"/>
    <w:basedOn w:val="Tekstopmerking"/>
    <w:next w:val="Tekstopmerking"/>
    <w:semiHidden/>
    <w:rsid w:val="00FB1CCA"/>
    <w:pPr>
      <w:overflowPunct/>
      <w:autoSpaceDE/>
      <w:autoSpaceDN/>
      <w:adjustRightInd/>
      <w:textAlignment w:val="auto"/>
    </w:pPr>
    <w:rPr>
      <w:b/>
      <w:bCs/>
      <w:lang w:val="fr-BE" w:eastAsia="en-US"/>
    </w:rPr>
  </w:style>
  <w:style w:type="paragraph" w:styleId="Ballontekst">
    <w:name w:val="Balloon Text"/>
    <w:basedOn w:val="Standaard"/>
    <w:link w:val="BallontekstChar"/>
    <w:semiHidden/>
    <w:rsid w:val="00FB1CCA"/>
    <w:pPr>
      <w:spacing w:after="0" w:line="240" w:lineRule="auto"/>
    </w:pPr>
    <w:rPr>
      <w:rFonts w:ascii="Tahoma" w:eastAsia="Times New Roman" w:hAnsi="Tahoma"/>
      <w:sz w:val="16"/>
      <w:szCs w:val="16"/>
    </w:rPr>
  </w:style>
  <w:style w:type="character" w:customStyle="1" w:styleId="BallontekstChar">
    <w:name w:val="Ballontekst Char"/>
    <w:basedOn w:val="Standaardalinea-lettertype"/>
    <w:link w:val="Ballontekst"/>
    <w:semiHidden/>
    <w:rsid w:val="00FB1CCA"/>
    <w:rPr>
      <w:rFonts w:ascii="Tahoma" w:eastAsia="Times New Roman" w:hAnsi="Tahoma" w:cs="Times New Roman"/>
      <w:sz w:val="16"/>
      <w:szCs w:val="16"/>
      <w:lang w:val="fr-BE"/>
    </w:rPr>
  </w:style>
  <w:style w:type="paragraph" w:customStyle="1" w:styleId="text-halve">
    <w:name w:val="text-halve"/>
    <w:basedOn w:val="Standaard"/>
    <w:next w:val="Standaard"/>
    <w:rsid w:val="00FB1CCA"/>
    <w:pPr>
      <w:keepLines/>
      <w:tabs>
        <w:tab w:val="left" w:pos="283"/>
        <w:tab w:val="left" w:pos="566"/>
      </w:tabs>
      <w:spacing w:after="0" w:line="135" w:lineRule="exact"/>
      <w:ind w:firstLine="283"/>
      <w:jc w:val="both"/>
    </w:pPr>
    <w:rPr>
      <w:rFonts w:ascii="Garamond 3" w:eastAsia="Times New Roman" w:hAnsi="Garamond 3"/>
      <w:sz w:val="21"/>
      <w:szCs w:val="20"/>
      <w:lang w:val="nl-NL"/>
    </w:rPr>
  </w:style>
  <w:style w:type="paragraph" w:customStyle="1" w:styleId="Singlespacing">
    <w:name w:val="Single spacing"/>
    <w:aliases w:val="s"/>
    <w:basedOn w:val="Standaard"/>
    <w:rsid w:val="00FB1CCA"/>
    <w:pPr>
      <w:overflowPunct w:val="0"/>
      <w:autoSpaceDE w:val="0"/>
      <w:autoSpaceDN w:val="0"/>
      <w:adjustRightInd w:val="0"/>
      <w:spacing w:after="0" w:line="280" w:lineRule="atLeast"/>
      <w:textAlignment w:val="baseline"/>
    </w:pPr>
    <w:rPr>
      <w:rFonts w:ascii="Palatino" w:eastAsia="Times New Roman" w:hAnsi="Palatino"/>
      <w:sz w:val="24"/>
      <w:szCs w:val="20"/>
      <w:lang w:val="fr-FR"/>
    </w:rPr>
  </w:style>
  <w:style w:type="character" w:styleId="Hyperlink">
    <w:name w:val="Hyperlink"/>
    <w:uiPriority w:val="99"/>
    <w:rsid w:val="00FB1CCA"/>
    <w:rPr>
      <w:color w:val="0000FF"/>
      <w:u w:val="single"/>
    </w:rPr>
  </w:style>
  <w:style w:type="paragraph" w:styleId="Onderwerpvanopmerking">
    <w:name w:val="annotation subject"/>
    <w:basedOn w:val="Tekstopmerking"/>
    <w:next w:val="Tekstopmerking"/>
    <w:link w:val="OnderwerpvanopmerkingChar"/>
    <w:uiPriority w:val="99"/>
    <w:semiHidden/>
    <w:rsid w:val="00FB1CCA"/>
    <w:pPr>
      <w:overflowPunct/>
      <w:autoSpaceDE/>
      <w:autoSpaceDN/>
      <w:adjustRightInd/>
      <w:textAlignment w:val="auto"/>
    </w:pPr>
    <w:rPr>
      <w:b/>
      <w:bCs/>
    </w:rPr>
  </w:style>
  <w:style w:type="character" w:customStyle="1" w:styleId="OnderwerpvanopmerkingChar">
    <w:name w:val="Onderwerp van opmerking Char"/>
    <w:basedOn w:val="TekstopmerkingChar"/>
    <w:link w:val="Onderwerpvanopmerking"/>
    <w:uiPriority w:val="99"/>
    <w:semiHidden/>
    <w:rsid w:val="00FB1CCA"/>
    <w:rPr>
      <w:rFonts w:ascii="Times New Roman" w:eastAsia="Times New Roman" w:hAnsi="Times New Roman" w:cs="Times New Roman"/>
      <w:b/>
      <w:bCs/>
      <w:sz w:val="20"/>
      <w:szCs w:val="20"/>
      <w:lang w:val="nl-NL" w:eastAsia="nl-NL"/>
    </w:rPr>
  </w:style>
  <w:style w:type="paragraph" w:customStyle="1" w:styleId="PageHeaderh">
    <w:name w:val="Page Header (h)"/>
    <w:basedOn w:val="Standaard"/>
    <w:next w:val="Standaard"/>
    <w:rsid w:val="00FB1CCA"/>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lang w:val="fr-FR"/>
    </w:rPr>
  </w:style>
  <w:style w:type="paragraph" w:styleId="Revisie">
    <w:name w:val="Revision"/>
    <w:hidden/>
    <w:uiPriority w:val="99"/>
    <w:semiHidden/>
    <w:rsid w:val="00FB1CCA"/>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Standaard"/>
    <w:rsid w:val="00FB1CCA"/>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noProof/>
      <w:color w:val="000000"/>
      <w:sz w:val="19"/>
      <w:szCs w:val="20"/>
      <w:lang w:val="nl-NL" w:eastAsia="nl-NL"/>
    </w:rPr>
  </w:style>
  <w:style w:type="paragraph" w:styleId="Plattetekstinspringen2">
    <w:name w:val="Body Text Indent 2"/>
    <w:basedOn w:val="Standaard"/>
    <w:link w:val="Plattetekstinspringen2Char"/>
    <w:uiPriority w:val="99"/>
    <w:semiHidden/>
    <w:unhideWhenUsed/>
    <w:rsid w:val="00FB1CC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B1CCA"/>
    <w:rPr>
      <w:rFonts w:ascii="Calibri" w:eastAsia="Calibri" w:hAnsi="Calibri" w:cs="Times New Roman"/>
      <w:lang w:val="fr-BE"/>
    </w:rPr>
  </w:style>
  <w:style w:type="paragraph" w:styleId="Lijstnummering">
    <w:name w:val="List Number"/>
    <w:basedOn w:val="Standaard"/>
    <w:link w:val="LijstnummeringChar"/>
    <w:rsid w:val="00FB1CCA"/>
    <w:pPr>
      <w:numPr>
        <w:numId w:val="3"/>
      </w:numPr>
      <w:tabs>
        <w:tab w:val="clear" w:pos="360"/>
        <w:tab w:val="left" w:pos="1494"/>
      </w:tabs>
      <w:spacing w:after="0" w:line="240" w:lineRule="auto"/>
      <w:ind w:left="1260" w:firstLine="0"/>
    </w:pPr>
    <w:rPr>
      <w:rFonts w:ascii="Times New Roman" w:eastAsia="Times New Roman" w:hAnsi="Times New Roman"/>
      <w:sz w:val="24"/>
      <w:szCs w:val="24"/>
      <w:lang w:val="fr-FR"/>
    </w:rPr>
  </w:style>
  <w:style w:type="character" w:customStyle="1" w:styleId="LijstnummeringChar">
    <w:name w:val="Lijstnummering Char"/>
    <w:link w:val="Lijstnummering"/>
    <w:rsid w:val="00FB1CCA"/>
    <w:rPr>
      <w:rFonts w:ascii="Times New Roman" w:eastAsia="Times New Roman" w:hAnsi="Times New Roman" w:cs="Times New Roman"/>
      <w:sz w:val="24"/>
      <w:szCs w:val="24"/>
      <w:lang w:val="fr-FR"/>
    </w:rPr>
  </w:style>
  <w:style w:type="character" w:styleId="GevolgdeHyperlink">
    <w:name w:val="FollowedHyperlink"/>
    <w:basedOn w:val="Standaardalinea-lettertype"/>
    <w:uiPriority w:val="99"/>
    <w:semiHidden/>
    <w:unhideWhenUsed/>
    <w:rsid w:val="00FB1CCA"/>
    <w:rPr>
      <w:color w:val="800080"/>
      <w:u w:val="single"/>
    </w:rPr>
  </w:style>
  <w:style w:type="paragraph" w:customStyle="1" w:styleId="BodySingle">
    <w:name w:val="Body Single"/>
    <w:basedOn w:val="Plattetekst"/>
    <w:link w:val="BodySingleChar"/>
    <w:uiPriority w:val="1"/>
    <w:qFormat/>
    <w:rsid w:val="00FB1CCA"/>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PlattetekstChar"/>
    <w:link w:val="BodySingle"/>
    <w:uiPriority w:val="1"/>
    <w:rsid w:val="00FB1CCA"/>
    <w:rPr>
      <w:rFonts w:ascii="Calibri" w:eastAsia="Calibri" w:hAnsi="Calibri" w:cs="Times New Roman"/>
      <w:sz w:val="24"/>
      <w:szCs w:val="20"/>
      <w:lang w:val="fr-BE" w:eastAsia="nl-NL"/>
    </w:rPr>
  </w:style>
  <w:style w:type="paragraph" w:customStyle="1" w:styleId="DefaultText1">
    <w:name w:val="Default Text:1"/>
    <w:basedOn w:val="Standaard"/>
    <w:rsid w:val="00FB1CCA"/>
    <w:pPr>
      <w:spacing w:after="0" w:line="240" w:lineRule="auto"/>
    </w:pPr>
    <w:rPr>
      <w:rFonts w:ascii="Times New Roman" w:eastAsia="Times New Roman" w:hAnsi="Times New Roman"/>
      <w:snapToGrid w:val="0"/>
      <w:sz w:val="24"/>
      <w:szCs w:val="20"/>
      <w:lang w:val="en-GB"/>
    </w:rPr>
  </w:style>
  <w:style w:type="character" w:customStyle="1" w:styleId="InitialStyle">
    <w:name w:val="InitialStyle"/>
    <w:rsid w:val="00FB1CCA"/>
    <w:rPr>
      <w:rFonts w:ascii="Times New Roman" w:hAnsi="Times New Roman"/>
      <w:color w:val="auto"/>
      <w:spacing w:val="0"/>
      <w:sz w:val="24"/>
    </w:rPr>
  </w:style>
  <w:style w:type="paragraph" w:customStyle="1" w:styleId="Default">
    <w:name w:val="Default"/>
    <w:rsid w:val="00FB1CCA"/>
    <w:pPr>
      <w:autoSpaceDE w:val="0"/>
      <w:autoSpaceDN w:val="0"/>
      <w:adjustRightInd w:val="0"/>
      <w:spacing w:after="0" w:line="240" w:lineRule="auto"/>
    </w:pPr>
    <w:rPr>
      <w:rFonts w:ascii="Times New Roman" w:hAnsi="Times New Roman" w:cs="Times New Roman"/>
      <w:color w:val="000000"/>
      <w:sz w:val="24"/>
      <w:szCs w:val="24"/>
      <w:lang w:val="nl-BE"/>
    </w:rPr>
  </w:style>
  <w:style w:type="paragraph" w:styleId="Kopvaninhoudsopgave">
    <w:name w:val="TOC Heading"/>
    <w:basedOn w:val="Kop1"/>
    <w:next w:val="Standaard"/>
    <w:uiPriority w:val="39"/>
    <w:unhideWhenUsed/>
    <w:qFormat/>
    <w:rsid w:val="00FB1CCA"/>
    <w:pPr>
      <w:spacing w:line="259" w:lineRule="auto"/>
      <w:outlineLvl w:val="9"/>
    </w:pPr>
    <w:rPr>
      <w:lang w:val="nl-BE" w:eastAsia="nl-BE"/>
    </w:rPr>
  </w:style>
  <w:style w:type="paragraph" w:styleId="Titel">
    <w:name w:val="Title"/>
    <w:basedOn w:val="Standaard"/>
    <w:next w:val="Standaard"/>
    <w:link w:val="TitelChar"/>
    <w:uiPriority w:val="10"/>
    <w:qFormat/>
    <w:rsid w:val="00FB1C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1CCA"/>
    <w:rPr>
      <w:rFonts w:asciiTheme="majorHAnsi" w:eastAsiaTheme="majorEastAsia" w:hAnsiTheme="majorHAnsi" w:cstheme="majorBidi"/>
      <w:spacing w:val="-10"/>
      <w:kern w:val="28"/>
      <w:sz w:val="56"/>
      <w:szCs w:val="56"/>
      <w:lang w:val="fr-BE"/>
    </w:rPr>
  </w:style>
  <w:style w:type="paragraph" w:styleId="Inhopg1">
    <w:name w:val="toc 1"/>
    <w:basedOn w:val="Standaard"/>
    <w:next w:val="Standaard"/>
    <w:autoRedefine/>
    <w:uiPriority w:val="39"/>
    <w:unhideWhenUsed/>
    <w:rsid w:val="00FB1CCA"/>
    <w:pPr>
      <w:spacing w:after="100"/>
    </w:pPr>
    <w:rPr>
      <w:rFonts w:ascii="Times New Roman" w:hAnsi="Times New Roman"/>
    </w:rPr>
  </w:style>
  <w:style w:type="paragraph" w:styleId="Inhopg2">
    <w:name w:val="toc 2"/>
    <w:basedOn w:val="Standaard"/>
    <w:next w:val="Standaard"/>
    <w:autoRedefine/>
    <w:uiPriority w:val="39"/>
    <w:unhideWhenUsed/>
    <w:rsid w:val="00FB1CCA"/>
    <w:pPr>
      <w:spacing w:after="100"/>
      <w:ind w:left="220"/>
    </w:pPr>
    <w:rPr>
      <w:rFonts w:ascii="Times New Roman" w:hAnsi="Times New Roman"/>
    </w:rPr>
  </w:style>
  <w:style w:type="paragraph" w:styleId="Inhopg3">
    <w:name w:val="toc 3"/>
    <w:basedOn w:val="Standaard"/>
    <w:next w:val="Standaard"/>
    <w:autoRedefine/>
    <w:uiPriority w:val="39"/>
    <w:unhideWhenUsed/>
    <w:rsid w:val="00FB1CCA"/>
    <w:pPr>
      <w:spacing w:after="100"/>
      <w:ind w:left="440"/>
    </w:pPr>
    <w:rPr>
      <w:rFonts w:ascii="Times New Roman" w:hAnsi="Times New Roman"/>
    </w:rPr>
  </w:style>
  <w:style w:type="paragraph" w:customStyle="1" w:styleId="ParagraphPurple">
    <w:name w:val="ParagraphPurple"/>
    <w:link w:val="ParagraphPurpleCar"/>
    <w:uiPriority w:val="99"/>
    <w:rsid w:val="00FB1CCA"/>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Standaardalinea-lettertype"/>
    <w:link w:val="ParagraphPurple"/>
    <w:uiPriority w:val="99"/>
    <w:rsid w:val="00FB1CCA"/>
    <w:rPr>
      <w:rFonts w:ascii="Times New Roman" w:eastAsiaTheme="minorEastAsia" w:hAnsi="Times New Roman" w:cs="Times New Roman"/>
      <w:color w:val="800080"/>
      <w:sz w:val="24"/>
      <w:szCs w:val="24"/>
      <w:lang w:val="fr-CA" w:eastAsia="fr-CA"/>
    </w:rPr>
  </w:style>
  <w:style w:type="character" w:customStyle="1" w:styleId="LijstalineaChar">
    <w:name w:val="Lijstalinea Char"/>
    <w:basedOn w:val="Standaardalinea-lettertype"/>
    <w:link w:val="Lijstalinea"/>
    <w:uiPriority w:val="34"/>
    <w:rsid w:val="00FB1CCA"/>
    <w:rPr>
      <w:rFonts w:ascii="Calibri" w:eastAsia="Calibri" w:hAnsi="Calibri" w:cs="Times New Roman"/>
      <w:lang w:val="fr-BE"/>
    </w:rPr>
  </w:style>
  <w:style w:type="paragraph" w:styleId="Inhopg4">
    <w:name w:val="toc 4"/>
    <w:basedOn w:val="Standaard"/>
    <w:next w:val="Standaard"/>
    <w:autoRedefine/>
    <w:uiPriority w:val="39"/>
    <w:unhideWhenUsed/>
    <w:rsid w:val="00FB1CCA"/>
    <w:pPr>
      <w:spacing w:after="100" w:line="259" w:lineRule="auto"/>
      <w:ind w:left="660"/>
    </w:pPr>
    <w:rPr>
      <w:rFonts w:asciiTheme="minorHAnsi" w:eastAsiaTheme="minorEastAsia" w:hAnsiTheme="minorHAnsi" w:cstheme="minorBidi"/>
      <w:lang w:val="en-IE" w:eastAsia="en-IE"/>
    </w:rPr>
  </w:style>
  <w:style w:type="paragraph" w:styleId="Inhopg5">
    <w:name w:val="toc 5"/>
    <w:basedOn w:val="Standaard"/>
    <w:next w:val="Standaard"/>
    <w:autoRedefine/>
    <w:uiPriority w:val="39"/>
    <w:unhideWhenUsed/>
    <w:rsid w:val="00FB1CCA"/>
    <w:pPr>
      <w:spacing w:after="100" w:line="259" w:lineRule="auto"/>
      <w:ind w:left="880"/>
    </w:pPr>
    <w:rPr>
      <w:rFonts w:asciiTheme="minorHAnsi" w:eastAsiaTheme="minorEastAsia" w:hAnsiTheme="minorHAnsi" w:cstheme="minorBidi"/>
      <w:lang w:val="en-IE" w:eastAsia="en-IE"/>
    </w:rPr>
  </w:style>
  <w:style w:type="paragraph" w:styleId="Inhopg6">
    <w:name w:val="toc 6"/>
    <w:basedOn w:val="Standaard"/>
    <w:next w:val="Standaard"/>
    <w:autoRedefine/>
    <w:uiPriority w:val="39"/>
    <w:unhideWhenUsed/>
    <w:rsid w:val="00FB1CCA"/>
    <w:pPr>
      <w:spacing w:after="100" w:line="259" w:lineRule="auto"/>
      <w:ind w:left="1100"/>
    </w:pPr>
    <w:rPr>
      <w:rFonts w:asciiTheme="minorHAnsi" w:eastAsiaTheme="minorEastAsia" w:hAnsiTheme="minorHAnsi" w:cstheme="minorBidi"/>
      <w:lang w:val="en-IE" w:eastAsia="en-IE"/>
    </w:rPr>
  </w:style>
  <w:style w:type="paragraph" w:styleId="Inhopg7">
    <w:name w:val="toc 7"/>
    <w:basedOn w:val="Standaard"/>
    <w:next w:val="Standaard"/>
    <w:autoRedefine/>
    <w:uiPriority w:val="39"/>
    <w:unhideWhenUsed/>
    <w:rsid w:val="00FB1CCA"/>
    <w:pPr>
      <w:spacing w:after="100" w:line="259" w:lineRule="auto"/>
      <w:ind w:left="1320"/>
    </w:pPr>
    <w:rPr>
      <w:rFonts w:asciiTheme="minorHAnsi" w:eastAsiaTheme="minorEastAsia" w:hAnsiTheme="minorHAnsi" w:cstheme="minorBidi"/>
      <w:lang w:val="en-IE" w:eastAsia="en-IE"/>
    </w:rPr>
  </w:style>
  <w:style w:type="paragraph" w:styleId="Inhopg8">
    <w:name w:val="toc 8"/>
    <w:basedOn w:val="Standaard"/>
    <w:next w:val="Standaard"/>
    <w:autoRedefine/>
    <w:uiPriority w:val="39"/>
    <w:unhideWhenUsed/>
    <w:rsid w:val="00FB1CCA"/>
    <w:pPr>
      <w:spacing w:after="100" w:line="259" w:lineRule="auto"/>
      <w:ind w:left="1540"/>
    </w:pPr>
    <w:rPr>
      <w:rFonts w:asciiTheme="minorHAnsi" w:eastAsiaTheme="minorEastAsia" w:hAnsiTheme="minorHAnsi" w:cstheme="minorBidi"/>
      <w:lang w:val="en-IE" w:eastAsia="en-IE"/>
    </w:rPr>
  </w:style>
  <w:style w:type="paragraph" w:styleId="Inhopg9">
    <w:name w:val="toc 9"/>
    <w:basedOn w:val="Standaard"/>
    <w:next w:val="Standaard"/>
    <w:autoRedefine/>
    <w:uiPriority w:val="39"/>
    <w:unhideWhenUsed/>
    <w:rsid w:val="00FB1CCA"/>
    <w:pPr>
      <w:spacing w:after="100" w:line="259" w:lineRule="auto"/>
      <w:ind w:left="1760"/>
    </w:pPr>
    <w:rPr>
      <w:rFonts w:asciiTheme="minorHAnsi" w:eastAsiaTheme="minorEastAsia" w:hAnsiTheme="minorHAnsi" w:cstheme="minorBidi"/>
      <w:lang w:val="en-IE" w:eastAsia="en-IE"/>
    </w:rPr>
  </w:style>
  <w:style w:type="numbering" w:customStyle="1" w:styleId="NoList1">
    <w:name w:val="No List1"/>
    <w:next w:val="Geenlijst"/>
    <w:uiPriority w:val="99"/>
    <w:semiHidden/>
    <w:unhideWhenUsed/>
    <w:rsid w:val="00FB1CCA"/>
  </w:style>
  <w:style w:type="table" w:customStyle="1" w:styleId="TableGrid1">
    <w:name w:val="Table Grid1"/>
    <w:basedOn w:val="Standaardtabel"/>
    <w:next w:val="Tabelraster"/>
    <w:uiPriority w:val="59"/>
    <w:rsid w:val="00FB1CCA"/>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7EB7B-185F-4F20-8C3E-FC02AB2A3B78}"/>
</file>

<file path=customXml/itemProps2.xml><?xml version="1.0" encoding="utf-8"?>
<ds:datastoreItem xmlns:ds="http://schemas.openxmlformats.org/officeDocument/2006/customXml" ds:itemID="{A453793E-86B6-4173-8DF1-402F1B57883C}"/>
</file>

<file path=customXml/itemProps3.xml><?xml version="1.0" encoding="utf-8"?>
<ds:datastoreItem xmlns:ds="http://schemas.openxmlformats.org/officeDocument/2006/customXml" ds:itemID="{2B2AB0EF-736B-457D-ADB7-6A616D51ED1C}"/>
</file>

<file path=customXml/itemProps4.xml><?xml version="1.0" encoding="utf-8"?>
<ds:datastoreItem xmlns:ds="http://schemas.openxmlformats.org/officeDocument/2006/customXml" ds:itemID="{2C988688-BA12-451C-AF7D-CFFF2C78108A}"/>
</file>

<file path=docProps/app.xml><?xml version="1.0" encoding="utf-8"?>
<Properties xmlns="http://schemas.openxmlformats.org/officeDocument/2006/extended-properties" xmlns:vt="http://schemas.openxmlformats.org/officeDocument/2006/docPropsVTypes">
  <Template>Normal.dotm</Template>
  <TotalTime>1</TotalTime>
  <Pages>39</Pages>
  <Words>13733</Words>
  <Characters>75534</Characters>
  <Application>Microsoft Office Word</Application>
  <DocSecurity>0</DocSecurity>
  <Lines>629</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Laplasse Jan</cp:lastModifiedBy>
  <cp:revision>2</cp:revision>
  <dcterms:created xsi:type="dcterms:W3CDTF">2018-09-27T09:46:00Z</dcterms:created>
  <dcterms:modified xsi:type="dcterms:W3CDTF">2018-09-27T09:46:00Z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